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AB66E" w14:textId="77777777" w:rsidR="006F2AB4" w:rsidRDefault="006F2AB4">
      <w:pPr>
        <w:spacing w:after="320"/>
      </w:pPr>
    </w:p>
    <w:p w14:paraId="7B958AF3" w14:textId="77777777" w:rsidR="006F2AB4" w:rsidRDefault="002C6E1D">
      <w:pPr>
        <w:jc w:val="center"/>
      </w:pPr>
      <w:r>
        <w:rPr>
          <w:b/>
          <w:bCs/>
          <w:color w:val="1A1A2E"/>
          <w:sz w:val="88"/>
          <w:szCs w:val="88"/>
        </w:rPr>
        <w:t>EU COVID-19</w:t>
      </w:r>
    </w:p>
    <w:p w14:paraId="3300892F" w14:textId="77777777" w:rsidR="006F2AB4" w:rsidRDefault="002C6E1D">
      <w:pPr>
        <w:spacing w:after="180"/>
        <w:jc w:val="center"/>
      </w:pPr>
      <w:r>
        <w:rPr>
          <w:b/>
          <w:bCs/>
          <w:color w:val="1A1A2E"/>
          <w:sz w:val="88"/>
          <w:szCs w:val="88"/>
        </w:rPr>
        <w:t>IMPFSTOFFVERTRÄGE</w:t>
      </w:r>
    </w:p>
    <w:p w14:paraId="369BA21F" w14:textId="77777777" w:rsidR="006F2AB4" w:rsidRDefault="002C6E1D">
      <w:pPr>
        <w:spacing w:after="100"/>
        <w:jc w:val="center"/>
      </w:pPr>
      <w:r>
        <w:rPr>
          <w:i/>
          <w:iCs/>
          <w:color w:val="444444"/>
          <w:sz w:val="32"/>
          <w:szCs w:val="32"/>
        </w:rPr>
        <w:t>Analyse, Netzwerkkartierung und Rechenschaftsbericht</w:t>
      </w:r>
    </w:p>
    <w:p w14:paraId="0BA75522" w14:textId="77777777" w:rsidR="006F2AB4" w:rsidRDefault="002C6E1D">
      <w:pPr>
        <w:spacing w:after="180"/>
        <w:jc w:val="center"/>
      </w:pPr>
      <w:r>
        <w:rPr>
          <w:color w:val="888888"/>
          <w:sz w:val="24"/>
          <w:szCs w:val="24"/>
        </w:rPr>
        <w:t>Version 9  ·  Mai 2026</w:t>
      </w:r>
    </w:p>
    <w:p w14:paraId="2D79B2F9" w14:textId="77777777" w:rsidR="006F2AB4" w:rsidRDefault="002C6E1D">
      <w:pPr>
        <w:spacing w:after="60"/>
        <w:jc w:val="center"/>
      </w:pPr>
      <w:r>
        <w:rPr>
          <w:b/>
          <w:bCs/>
          <w:color w:val="555555"/>
        </w:rPr>
        <w:t>Basierend auf Primärquellen:</w:t>
      </w:r>
    </w:p>
    <w:p w14:paraId="30D3C816" w14:textId="77777777" w:rsidR="006F2AB4" w:rsidRDefault="002C6E1D">
      <w:pPr>
        <w:spacing w:after="40"/>
        <w:jc w:val="center"/>
      </w:pPr>
      <w:r>
        <w:rPr>
          <w:color w:val="666666"/>
          <w:sz w:val="18"/>
          <w:szCs w:val="18"/>
        </w:rPr>
        <w:t>Unredigierte EU-Impfstoffverträge  ·  Pfizer 5.3.6-Bericht über unerwünschte Ereignisse nach der Markteinführung</w:t>
      </w:r>
    </w:p>
    <w:p w14:paraId="47AFAE5C" w14:textId="77777777" w:rsidR="006F2AB4" w:rsidRDefault="002C6E1D">
      <w:pPr>
        <w:spacing w:after="40"/>
        <w:jc w:val="center"/>
      </w:pPr>
      <w:r>
        <w:rPr>
          <w:color w:val="666666"/>
          <w:sz w:val="18"/>
          <w:szCs w:val="18"/>
        </w:rPr>
        <w:t>Comirnaty-Sicherheitsdatenblatt  ·  Korrespondenz der EMA mit Mitgliedern des Europäischen Parlaments</w:t>
      </w:r>
    </w:p>
    <w:p w14:paraId="39C0EC5E" w14:textId="77777777" w:rsidR="006F2AB4" w:rsidRDefault="002C6E1D">
      <w:pPr>
        <w:jc w:val="center"/>
      </w:pPr>
      <w:r>
        <w:rPr>
          <w:color w:val="666666"/>
          <w:sz w:val="18"/>
          <w:szCs w:val="18"/>
        </w:rPr>
        <w:t>Von Rothschild &amp; Co selbst veröffentlichte Investorenunterlagen  ·  Verifizierte Presseberichte</w:t>
      </w:r>
    </w:p>
    <w:p w14:paraId="3938B009" w14:textId="77777777" w:rsidR="006F2AB4" w:rsidRDefault="002C6E1D">
      <w:r>
        <w:br w:type="page"/>
      </w:r>
    </w:p>
    <w:p w14:paraId="4EC61399" w14:textId="77777777" w:rsidR="006F2AB4" w:rsidRDefault="006F2AB4">
      <w:pPr>
        <w:spacing w:after="80"/>
      </w:pPr>
    </w:p>
    <w:p w14:paraId="1FEAB59E" w14:textId="77777777" w:rsidR="006F2AB4" w:rsidRDefault="002C6E1D">
      <w:pPr>
        <w:spacing w:after="40"/>
        <w:jc w:val="center"/>
      </w:pPr>
      <w:r>
        <w:rPr>
          <w:b/>
          <w:bCs/>
          <w:color w:val="1A1A2E"/>
          <w:sz w:val="40"/>
          <w:szCs w:val="40"/>
        </w:rPr>
        <w:t>DOKUMENTIERTES NETZWERK</w:t>
      </w:r>
    </w:p>
    <w:p w14:paraId="0A462A7F" w14:textId="77777777" w:rsidR="006F2AB4" w:rsidRDefault="002C6E1D">
      <w:pPr>
        <w:spacing w:after="100"/>
        <w:jc w:val="center"/>
      </w:pPr>
      <w:r>
        <w:rPr>
          <w:noProof/>
        </w:rPr>
        <w:drawing>
          <wp:inline distT="0" distB="0" distL="0" distR="0" wp14:anchorId="7CC91638" wp14:editId="4966605F">
            <wp:extent cx="5905500" cy="59055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5905500" cy="5905500"/>
                    </a:xfrm>
                    <a:prstGeom prst="rect">
                      <a:avLst/>
                    </a:prstGeom>
                  </pic:spPr>
                </pic:pic>
              </a:graphicData>
            </a:graphic>
          </wp:inline>
        </w:drawing>
      </w:r>
    </w:p>
    <w:p w14:paraId="40D8F12D" w14:textId="77777777" w:rsidR="006F2AB4" w:rsidRDefault="002C6E1D">
      <w:pPr>
        <w:jc w:val="center"/>
      </w:pPr>
      <w:r>
        <w:rPr>
          <w:i/>
          <w:iCs/>
          <w:color w:val="888888"/>
          <w:sz w:val="16"/>
          <w:szCs w:val="16"/>
        </w:rPr>
        <w:t>Alle Verbindungen wurden anhand von Primärquellen hergestellt. Es werden keine Schlussfolgerungen gezogen, die über die dokumentierten Beweise hinausgehen.</w:t>
      </w:r>
    </w:p>
    <w:p w14:paraId="5DA9172C" w14:textId="77777777" w:rsidR="006F2AB4" w:rsidRDefault="002C6E1D">
      <w:r>
        <w:br w:type="page"/>
      </w:r>
    </w:p>
    <w:p w14:paraId="3AEAEC4B" w14:textId="77777777" w:rsidR="006F2AB4" w:rsidRDefault="002C6E1D">
      <w:pPr>
        <w:pStyle w:val="berschrift1"/>
        <w:pBdr>
          <w:bottom w:val="single" w:sz="8" w:space="4" w:color="1A1A2E"/>
        </w:pBdr>
      </w:pPr>
      <w:r>
        <w:lastRenderedPageBreak/>
        <w:t>Inhaltsverzeichnis</w:t>
      </w:r>
    </w:p>
    <w:p w14:paraId="6177D601" w14:textId="77777777" w:rsidR="006F2AB4" w:rsidRDefault="006F2AB4">
      <w:pPr>
        <w:spacing w:after="40"/>
      </w:pPr>
    </w:p>
    <w:p w14:paraId="4D59DF9F" w14:textId="77777777" w:rsidR="006F2AB4" w:rsidRDefault="002C6E1D">
      <w:pPr>
        <w:pBdr>
          <w:bottom w:val="single" w:sz="1" w:space="4" w:color="DDDDDD"/>
        </w:pBdr>
        <w:spacing w:before="60" w:after="60"/>
      </w:pPr>
      <w:r>
        <w:rPr>
          <w:b/>
          <w:bCs/>
          <w:color w:val="CC0000"/>
          <w:sz w:val="22"/>
          <w:szCs w:val="22"/>
        </w:rPr>
        <w:t>01.</w:t>
      </w:r>
      <w:r>
        <w:rPr>
          <w:color w:val="111111"/>
          <w:sz w:val="22"/>
          <w:szCs w:val="22"/>
        </w:rPr>
        <w:t xml:space="preserve"> 1. Zusammenfassung</w:t>
      </w:r>
    </w:p>
    <w:p w14:paraId="0BE4A8E3" w14:textId="77777777" w:rsidR="006F2AB4" w:rsidRDefault="002C6E1D">
      <w:pPr>
        <w:pBdr>
          <w:bottom w:val="single" w:sz="1" w:space="4" w:color="DDDDDD"/>
        </w:pBdr>
        <w:spacing w:before="60" w:after="60"/>
      </w:pPr>
      <w:r>
        <w:rPr>
          <w:b/>
          <w:bCs/>
          <w:color w:val="CC0000"/>
          <w:sz w:val="22"/>
          <w:szCs w:val="22"/>
        </w:rPr>
        <w:t>02.</w:t>
      </w:r>
      <w:r>
        <w:rPr>
          <w:color w:val="111111"/>
          <w:sz w:val="22"/>
          <w:szCs w:val="22"/>
        </w:rPr>
        <w:t xml:space="preserve"> 2. Die Schlüsselpersonen</w:t>
      </w:r>
    </w:p>
    <w:p w14:paraId="5E2FC2F0" w14:textId="77777777" w:rsidR="006F2AB4" w:rsidRDefault="002C6E1D">
      <w:pPr>
        <w:pBdr>
          <w:bottom w:val="single" w:sz="1" w:space="4" w:color="DDDDDD"/>
        </w:pBdr>
        <w:spacing w:before="60" w:after="60"/>
      </w:pPr>
      <w:r>
        <w:rPr>
          <w:b/>
          <w:bCs/>
          <w:color w:val="CC0000"/>
          <w:sz w:val="22"/>
          <w:szCs w:val="22"/>
        </w:rPr>
        <w:t>03.</w:t>
      </w:r>
      <w:r>
        <w:rPr>
          <w:color w:val="111111"/>
          <w:sz w:val="22"/>
          <w:szCs w:val="22"/>
        </w:rPr>
        <w:t xml:space="preserve"> 3. Tabelle zur Verantwortlichkeit</w:t>
      </w:r>
    </w:p>
    <w:p w14:paraId="69564D0C" w14:textId="77777777" w:rsidR="006F2AB4" w:rsidRDefault="002C6E1D">
      <w:pPr>
        <w:pBdr>
          <w:bottom w:val="single" w:sz="1" w:space="4" w:color="DDDDDD"/>
        </w:pBdr>
        <w:spacing w:before="60" w:after="60"/>
      </w:pPr>
      <w:r>
        <w:rPr>
          <w:b/>
          <w:bCs/>
          <w:color w:val="CC0000"/>
          <w:sz w:val="22"/>
          <w:szCs w:val="22"/>
        </w:rPr>
        <w:t>04.</w:t>
      </w:r>
      <w:r>
        <w:rPr>
          <w:color w:val="111111"/>
          <w:sz w:val="22"/>
          <w:szCs w:val="22"/>
        </w:rPr>
        <w:t xml:space="preserve"> 4. Das Netzwerk – Zirkulation der Elite und institutionelle Vereinnahmung</w:t>
      </w:r>
    </w:p>
    <w:p w14:paraId="2ED6B9B9" w14:textId="77777777" w:rsidR="006F2AB4" w:rsidRDefault="002C6E1D">
      <w:pPr>
        <w:pBdr>
          <w:bottom w:val="single" w:sz="1" w:space="4" w:color="DDDDDD"/>
        </w:pBdr>
        <w:spacing w:before="60" w:after="60"/>
      </w:pPr>
      <w:r>
        <w:rPr>
          <w:b/>
          <w:bCs/>
          <w:color w:val="CC0000"/>
          <w:sz w:val="22"/>
          <w:szCs w:val="22"/>
        </w:rPr>
        <w:t>05.</w:t>
      </w:r>
      <w:r>
        <w:rPr>
          <w:color w:val="111111"/>
          <w:sz w:val="22"/>
          <w:szCs w:val="22"/>
        </w:rPr>
        <w:t xml:space="preserve"> 5. Die Verträge – Was wurde verschwiegen und warum</w:t>
      </w:r>
    </w:p>
    <w:p w14:paraId="7E9FCB6A" w14:textId="77777777" w:rsidR="006F2AB4" w:rsidRDefault="002C6E1D">
      <w:pPr>
        <w:pBdr>
          <w:bottom w:val="single" w:sz="1" w:space="4" w:color="DDDDDD"/>
        </w:pBdr>
        <w:spacing w:before="60" w:after="60"/>
      </w:pPr>
      <w:r>
        <w:rPr>
          <w:b/>
          <w:bCs/>
          <w:color w:val="CC0000"/>
          <w:sz w:val="22"/>
          <w:szCs w:val="22"/>
        </w:rPr>
        <w:t>06.</w:t>
      </w:r>
      <w:r>
        <w:rPr>
          <w:color w:val="111111"/>
          <w:sz w:val="22"/>
          <w:szCs w:val="22"/>
        </w:rPr>
        <w:t xml:space="preserve"> 6. Sicherheitsdaten – Was war wann bekannt?</w:t>
      </w:r>
    </w:p>
    <w:p w14:paraId="534BA036" w14:textId="77777777" w:rsidR="006F2AB4" w:rsidRDefault="002C6E1D">
      <w:pPr>
        <w:pBdr>
          <w:bottom w:val="single" w:sz="1" w:space="4" w:color="DDDDDD"/>
        </w:pBdr>
        <w:spacing w:before="60" w:after="60"/>
      </w:pPr>
      <w:r>
        <w:rPr>
          <w:b/>
          <w:bCs/>
          <w:color w:val="CC0000"/>
          <w:sz w:val="22"/>
          <w:szCs w:val="22"/>
        </w:rPr>
        <w:t>07.</w:t>
      </w:r>
      <w:r>
        <w:rPr>
          <w:color w:val="111111"/>
          <w:sz w:val="22"/>
          <w:szCs w:val="22"/>
        </w:rPr>
        <w:t xml:space="preserve"> 7. Zwang ohne Mandat</w:t>
      </w:r>
    </w:p>
    <w:p w14:paraId="174E1774" w14:textId="77777777" w:rsidR="006F2AB4" w:rsidRDefault="002C6E1D">
      <w:pPr>
        <w:pBdr>
          <w:bottom w:val="single" w:sz="1" w:space="4" w:color="DDDDDD"/>
        </w:pBdr>
        <w:spacing w:before="60" w:after="60"/>
      </w:pPr>
      <w:r>
        <w:rPr>
          <w:b/>
          <w:bCs/>
          <w:color w:val="CC0000"/>
          <w:sz w:val="22"/>
          <w:szCs w:val="22"/>
        </w:rPr>
        <w:t>08.</w:t>
      </w:r>
      <w:r>
        <w:rPr>
          <w:color w:val="111111"/>
          <w:sz w:val="22"/>
          <w:szCs w:val="22"/>
        </w:rPr>
        <w:t xml:space="preserve"> 8. Merkel, die Stasi und die versiegelte Akte</w:t>
      </w:r>
    </w:p>
    <w:p w14:paraId="29E67CD5" w14:textId="77777777" w:rsidR="006F2AB4" w:rsidRDefault="002C6E1D">
      <w:pPr>
        <w:pBdr>
          <w:bottom w:val="single" w:sz="1" w:space="4" w:color="DDDDDD"/>
        </w:pBdr>
        <w:spacing w:before="60" w:after="60"/>
      </w:pPr>
      <w:r>
        <w:rPr>
          <w:b/>
          <w:bCs/>
          <w:color w:val="CC0000"/>
          <w:sz w:val="22"/>
          <w:szCs w:val="22"/>
        </w:rPr>
        <w:t>09.</w:t>
      </w:r>
      <w:r>
        <w:rPr>
          <w:color w:val="111111"/>
          <w:sz w:val="22"/>
          <w:szCs w:val="22"/>
        </w:rPr>
        <w:t xml:space="preserve"> 9. Quellenangaben – vollständig und korrigiert</w:t>
      </w:r>
    </w:p>
    <w:p w14:paraId="0A4FB9FE" w14:textId="77777777" w:rsidR="006F2AB4" w:rsidRDefault="002C6E1D">
      <w:pPr>
        <w:pBdr>
          <w:bottom w:val="single" w:sz="1" w:space="4" w:color="DDDDDD"/>
        </w:pBdr>
        <w:spacing w:before="60" w:after="60"/>
      </w:pPr>
      <w:r>
        <w:rPr>
          <w:b/>
          <w:bCs/>
          <w:color w:val="CC0000"/>
          <w:sz w:val="22"/>
          <w:szCs w:val="22"/>
        </w:rPr>
        <w:t>10.</w:t>
      </w:r>
      <w:r>
        <w:rPr>
          <w:color w:val="111111"/>
          <w:sz w:val="22"/>
          <w:szCs w:val="22"/>
        </w:rPr>
        <w:t xml:space="preserve"> 10. Zusammenfassung der Ergebnisse</w:t>
      </w:r>
    </w:p>
    <w:p w14:paraId="2F9F0B1C" w14:textId="77777777" w:rsidR="006F2AB4" w:rsidRDefault="006F2AB4">
      <w:pPr>
        <w:spacing w:after="80"/>
      </w:pPr>
    </w:p>
    <w:p w14:paraId="0379EFBE" w14:textId="77777777" w:rsidR="006F2AB4" w:rsidRDefault="002C6E1D">
      <w:pPr>
        <w:pStyle w:val="berschrift1"/>
        <w:pBdr>
          <w:bottom w:val="single" w:sz="8" w:space="4" w:color="1A1A2E"/>
        </w:pBdr>
      </w:pPr>
      <w:r>
        <w:t>1. Zusammenfassung</w:t>
      </w:r>
    </w:p>
    <w:p w14:paraId="77EEF2D5" w14:textId="77777777" w:rsidR="006F2AB4" w:rsidRDefault="002C6E1D">
      <w:pPr>
        <w:spacing w:before="60" w:after="60" w:line="288" w:lineRule="auto"/>
        <w:jc w:val="both"/>
      </w:pPr>
      <w:r>
        <w:rPr>
          <w:color w:val="1A1A1A"/>
        </w:rPr>
        <w:t>In diesem Dokument geht es um eine einfache Frage: Was geschah mit den Menschen in Europa zwischen 2020 und 2022, wer traf die Entscheidungen, die sie betrafen, und warum nahmen diese Entscheidungen genau diese Form an?</w:t>
      </w:r>
    </w:p>
    <w:p w14:paraId="24E6D908" w14:textId="77777777" w:rsidR="006F2AB4" w:rsidRDefault="002C6E1D">
      <w:pPr>
        <w:spacing w:before="60" w:after="60" w:line="288" w:lineRule="auto"/>
        <w:jc w:val="both"/>
      </w:pPr>
      <w:r>
        <w:rPr>
          <w:color w:val="1A1A1A"/>
        </w:rPr>
        <w:t>Die Antwort, die sich aus den Primärquellen dieses Berichts ergibt, lautet wie folgt: 450 Millionen europäische Bürger waren einem Beschaffungsprozess ausgesetzt, durch den enorme Summen ihres Geldes an private Unternehmen transferiert wurden, diesen Unternehmen jegliche rechtliche Haftung für Schäden entzogen wurde, die Teilnahme durch Zugangsbeschränkungen erzwungen wurde, die die Menschen ihre Arbeitsplätze, ihre Freizügigkeit und in einigen Fällen ihre Existenzgrundlage kosteten – und der über private K</w:t>
      </w:r>
      <w:r>
        <w:rPr>
          <w:color w:val="1A1A1A"/>
        </w:rPr>
        <w:t>ommunikationskanäle abgewickelt wurde, die inzwischen vernichtet wurden. Die verantwortlichen Beamten mussten keine strafrechtlichen Konsequenzen befürchten. Das Unternehmen, das am meisten profitierte, erhielt erneut Aufträge, und sein Vorstandsvorsitzender wurde gemeinsam mit dem Kommissionspräsidenten, der den Vertrag ausgehandelt hatte, bei einer Zeremonie in Washington geehrt – und das, obwohl gegen ihn Ermittlungen liefen.</w:t>
      </w:r>
    </w:p>
    <w:p w14:paraId="4720C0ED" w14:textId="77777777" w:rsidR="006F2AB4" w:rsidRDefault="002C6E1D">
      <w:pPr>
        <w:spacing w:before="60" w:after="60" w:line="288" w:lineRule="auto"/>
        <w:jc w:val="both"/>
      </w:pPr>
      <w:r>
        <w:rPr>
          <w:color w:val="1A1A1A"/>
        </w:rPr>
        <w:t>Was die Dokumente belegen:</w:t>
      </w:r>
    </w:p>
    <w:p w14:paraId="4E9626B4" w14:textId="77777777" w:rsidR="006F2AB4" w:rsidRDefault="002C6E1D">
      <w:pPr>
        <w:pStyle w:val="Listenabsatz"/>
        <w:numPr>
          <w:ilvl w:val="0"/>
          <w:numId w:val="2"/>
        </w:numPr>
        <w:spacing w:before="60" w:after="60"/>
      </w:pPr>
      <w:r>
        <w:rPr>
          <w:color w:val="1A1A1A"/>
        </w:rPr>
        <w:t>Der 35-Milliarden-Euro-Vertrag der EU mit Pfizer wurde von Kommissionspräsidentin Ursula von der Leyen über private Textnachrichten mit dem Pfizer-CEO Albert Bourla ausgehandelt – nicht im Rahmen eines transparenten Vergabeverfahrens. Diese Nachrichten wurden gelöscht oder als verloren gemeldet. Das Gericht der Europäischen Union befand diese Erklärung für unglaubwürdig. Die Europäische Staatsanwaltschaft ermittelt gegen von der Leyen wegen Beweisvernichtung, Korruption und Interessenkonflikten. Sie wurde i</w:t>
      </w:r>
      <w:r>
        <w:rPr>
          <w:color w:val="1A1A1A"/>
        </w:rPr>
        <w:t>m Juli 2024 als Kommissionspräsidentin wiedergewählt.</w:t>
      </w:r>
    </w:p>
    <w:p w14:paraId="7157A2BA" w14:textId="77777777" w:rsidR="006F2AB4" w:rsidRDefault="002C6E1D">
      <w:pPr>
        <w:pStyle w:val="Listenabsatz"/>
        <w:numPr>
          <w:ilvl w:val="0"/>
          <w:numId w:val="2"/>
        </w:numPr>
        <w:spacing w:before="60" w:after="60"/>
      </w:pPr>
      <w:r>
        <w:rPr>
          <w:color w:val="1A1A1A"/>
        </w:rPr>
        <w:t xml:space="preserve">Von der Leyen wurde durch einen Hinterzimmerdeal auf der Tagung des Europäischen Rates 2019 in ihr Amt gebracht, der von dem französischen Präsidenten Emmanuel Macron inszeniert wurde – einem ehemaligen Banker bei Rothschild &amp; Cie, dessen erster großer Deal bei dieser Bank für Pfizer war. Dasselbe Finanzinstitut, dessen Schützling die Kommissionspräsidentin ins Amt brachte, veröffentlichte zeitgleich auf seiner eigenen Website während der Hochphase der Beschaffungsphase ein bewunderndes Investoreninterview </w:t>
      </w:r>
      <w:r>
        <w:rPr>
          <w:color w:val="1A1A1A"/>
        </w:rPr>
        <w:t>mit Pfizer.</w:t>
      </w:r>
    </w:p>
    <w:p w14:paraId="4A0AA385" w14:textId="77777777" w:rsidR="006F2AB4" w:rsidRDefault="002C6E1D">
      <w:pPr>
        <w:pStyle w:val="Listenabsatz"/>
        <w:numPr>
          <w:ilvl w:val="0"/>
          <w:numId w:val="2"/>
        </w:numPr>
        <w:spacing w:before="60" w:after="60"/>
      </w:pPr>
      <w:r>
        <w:rPr>
          <w:color w:val="1A1A1A"/>
        </w:rPr>
        <w:t>Von der Leyens Ehemann wurde im September 2020 zum medizinischen Direktor eines Pharmaunternehmens ernannt, das EU-Fördermittel erhielt – genau in dem Monat, in dem die Impfstoffbeschaffungsstrategie der EU fertiggestellt wurde. Dies wurde nicht offengelegt. Es wurde nicht untersucht.</w:t>
      </w:r>
    </w:p>
    <w:p w14:paraId="152FF92A" w14:textId="77777777" w:rsidR="006F2AB4" w:rsidRDefault="002C6E1D">
      <w:pPr>
        <w:pStyle w:val="Listenabsatz"/>
        <w:numPr>
          <w:ilvl w:val="0"/>
          <w:numId w:val="2"/>
        </w:numPr>
        <w:spacing w:before="60" w:after="60"/>
      </w:pPr>
      <w:r>
        <w:rPr>
          <w:color w:val="1A1A1A"/>
        </w:rPr>
        <w:t>Beide Verträge verlagerten die gesamte rechtliche Haftung für unerwünschte Ereignisse von Pfizer und Moderna auf die Mitgliedstaaten – und damit auf die Bürger. Pfizer trug keinerlei rechtliche Verantwortung für durch sein Produkt verursachte Schäden. Die Bürger hingegen schon. Dies wurde aus den öffentlich veröffentlichten Verträgen geschwärzt, damit niemand davon erfuhr.</w:t>
      </w:r>
    </w:p>
    <w:p w14:paraId="6C767D8C" w14:textId="77777777" w:rsidR="006F2AB4" w:rsidRDefault="002C6E1D">
      <w:pPr>
        <w:pStyle w:val="Listenabsatz"/>
        <w:numPr>
          <w:ilvl w:val="0"/>
          <w:numId w:val="2"/>
        </w:numPr>
        <w:spacing w:before="60" w:after="60"/>
      </w:pPr>
      <w:r>
        <w:rPr>
          <w:color w:val="1A1A1A"/>
        </w:rPr>
        <w:lastRenderedPageBreak/>
        <w:t>Jede Regierung eines Mitgliedstaats, die diese Verträge unterzeichnete – einschließlich Deutschlands –, bestätigte formell schriftlich, dass die Langzeitwirkungen der Impfstoffe unbekannt waren. Ihren Bürgern teilten sie daraufhin das Gegenteil mit. Den Menschen wurde mit dem Verlust des Arbeitsplatzes, dem Ausschluss aus dem öffentlichen Leben und sozialer Ächtung gedroht, sollten sie ein Produkt ablehnen, von dem ihre eigenen Regierungen vertraglich anerkannt hatten, dass es noch nicht vollständig erforsc</w:t>
      </w:r>
      <w:r>
        <w:rPr>
          <w:color w:val="1A1A1A"/>
        </w:rPr>
        <w:t>ht war.</w:t>
      </w:r>
    </w:p>
    <w:p w14:paraId="18BB5408" w14:textId="77777777" w:rsidR="006F2AB4" w:rsidRDefault="002C6E1D">
      <w:pPr>
        <w:pStyle w:val="Listenabsatz"/>
        <w:numPr>
          <w:ilvl w:val="0"/>
          <w:numId w:val="2"/>
        </w:numPr>
        <w:spacing w:before="60" w:after="60"/>
      </w:pPr>
      <w:r>
        <w:rPr>
          <w:color w:val="1A1A1A"/>
        </w:rPr>
        <w:t>Innerhalb von 90 Tagen nach Beginn der Impfkampagne hatte Pfizers eigene interne Überwachung in mehr als 42.000 Fallberichten 1.291 Kategorien von unerwünschten Ereignissen identifiziert, die einer besonderen Überwachung bedurften. Pfizer übermittelte diese Daten an die FDA. Die FDA verlangte, dass sie 75 Jahre lang der Öffentlichkeit vorenthalten werden sollten. Ein Bundesgericht ordnete eine frühere Veröffentlichung an. Den geimpften Personen wurde davon nichts mitgeteilt.</w:t>
      </w:r>
    </w:p>
    <w:p w14:paraId="6593673C" w14:textId="77777777" w:rsidR="006F2AB4" w:rsidRDefault="002C6E1D">
      <w:pPr>
        <w:pStyle w:val="Listenabsatz"/>
        <w:numPr>
          <w:ilvl w:val="0"/>
          <w:numId w:val="2"/>
        </w:numPr>
        <w:spacing w:before="60" w:after="60"/>
      </w:pPr>
      <w:r>
        <w:rPr>
          <w:color w:val="1A1A1A"/>
        </w:rPr>
        <w:t>Die Europäische Arzneimittelagentur (EMA) bestätigte den gewählten Mitgliedern des Europäischen Parlaments schriftlich, dass die Impfstoffe niemals zur Verhinderung der Übertragung von Mensch zu Mensch zugelassen worden waren. Die Verhinderung der Übertragung war die angegebene Rechtfertigung für Impfpässe – den Mechanismus, durch den Menschen, die eine Impfung ablehnten, europaweit von Restaurants, Verkehrsmitteln, Arbeitsplätzen und Bildungseinrichtungen ausgeschlossen wurden. Die wissenschaftliche Grundl</w:t>
      </w:r>
      <w:r>
        <w:rPr>
          <w:color w:val="1A1A1A"/>
        </w:rPr>
        <w:t>age für diese Ausschlüsse existierte nicht. Die EMA erklärte dies schriftlich. Die Ausschlüsse fanden dennoch statt.</w:t>
      </w:r>
    </w:p>
    <w:p w14:paraId="62EC48B4" w14:textId="77777777" w:rsidR="006F2AB4" w:rsidRDefault="002C6E1D">
      <w:pPr>
        <w:pStyle w:val="Listenabsatz"/>
        <w:numPr>
          <w:ilvl w:val="0"/>
          <w:numId w:val="2"/>
        </w:numPr>
        <w:spacing w:before="60" w:after="60"/>
      </w:pPr>
      <w:r>
        <w:rPr>
          <w:color w:val="1A1A1A"/>
        </w:rPr>
        <w:t>Als der Deutsche Bundestag direkt darüber abstimmte, ob eine Impfpflicht eingeführt werden sollte, lehnte er dies ab – mit 378 zu 296 Stimmen. Die Regierung führte daraufhin das System der Zugangsbeschränkungen ein, das durch Verordnungen der Exekutive, die keiner parlamentarischen Zustimmung bedurften, eine nahezu identische Zwangswirkung erzielte. Die Demokratie wurde bewusst umgangen.</w:t>
      </w:r>
    </w:p>
    <w:p w14:paraId="1DAE0E6A" w14:textId="77777777" w:rsidR="006F2AB4" w:rsidRDefault="002C6E1D">
      <w:pPr>
        <w:pStyle w:val="Listenabsatz"/>
        <w:numPr>
          <w:ilvl w:val="0"/>
          <w:numId w:val="2"/>
        </w:numPr>
        <w:spacing w:before="60" w:after="60"/>
      </w:pPr>
      <w:r>
        <w:rPr>
          <w:color w:val="1A1A1A"/>
        </w:rPr>
        <w:t>Angela Merkel – die Von der Leyens politische Karriere über 14 Jahre und vier Kabinettsämter hinweg aufgebaut hatte – blockierte gleichzeitig das ganze Jahr 2021 über die TRIPS-Ausnahmeregelung zum Schutz geistigen Eigentums auf G7- und WTO-Ebene. Diese Ausnahmeregelung hätte es anderen Ländern ermöglicht, die Impfstoffe herzustellen. Durch die Blockade wurden dieselben pharmazeutischen Monopole geschützt, die die von ihrer Protegé ausgehandelten Verträge garantiert hatten. Beide Frauen dienten denselben In</w:t>
      </w:r>
      <w:r>
        <w:rPr>
          <w:color w:val="1A1A1A"/>
        </w:rPr>
        <w:t>teressen, ohne sich jemals in einem Raum getroffen zu haben, um sich darauf zu einigen.</w:t>
      </w:r>
    </w:p>
    <w:p w14:paraId="396BB700" w14:textId="77777777" w:rsidR="006F2AB4" w:rsidRDefault="002C6E1D">
      <w:pPr>
        <w:pStyle w:val="Listenabsatz"/>
        <w:numPr>
          <w:ilvl w:val="0"/>
          <w:numId w:val="2"/>
        </w:numPr>
        <w:spacing w:before="60" w:after="60"/>
      </w:pPr>
      <w:r>
        <w:rPr>
          <w:color w:val="1A1A1A"/>
        </w:rPr>
        <w:t>Die privaten Kommunikationen zwischen Von der Leyen und Bourla – die Nachrichten, die Aufschluss darüber gegeben hätten, wer wen angewiesen hat, was vereinbart wurde und was im Gegenzug versprochen wurde – wurden vernichtet. Die Person, deren Verhalten Gegenstand der Ermittlungen ist, hatte die Kontrolle über die Beweismittel. Die Beweismittel sind verschwunden.</w:t>
      </w:r>
    </w:p>
    <w:p w14:paraId="74584134" w14:textId="77777777" w:rsidR="006F2AB4" w:rsidRDefault="006F2AB4">
      <w:pPr>
        <w:spacing w:after="120"/>
      </w:pPr>
    </w:p>
    <w:p w14:paraId="78CA6FA8" w14:textId="77777777" w:rsidR="006F2AB4" w:rsidRDefault="002C6E1D">
      <w:pPr>
        <w:pStyle w:val="berschrift1"/>
        <w:pBdr>
          <w:bottom w:val="single" w:sz="8" w:space="4" w:color="1A1A2E"/>
        </w:pBdr>
      </w:pPr>
      <w:r>
        <w:t>2. Die Schlüsselpersonen</w:t>
      </w:r>
    </w:p>
    <w:p w14:paraId="092A8555" w14:textId="77777777" w:rsidR="006F2AB4" w:rsidRDefault="002C6E1D">
      <w:pPr>
        <w:pStyle w:val="berschrift2"/>
      </w:pPr>
      <w:r>
        <w:t>2.1 Ursula von der Leyen – Präsidentin der Europäischen Kommission</w:t>
      </w:r>
    </w:p>
    <w:p w14:paraId="3F49C6C0" w14:textId="77777777" w:rsidR="006F2AB4" w:rsidRDefault="002C6E1D">
      <w:pPr>
        <w:spacing w:before="60" w:after="60" w:line="288" w:lineRule="auto"/>
        <w:jc w:val="both"/>
      </w:pPr>
      <w:r>
        <w:rPr>
          <w:color w:val="1A1A1A"/>
        </w:rPr>
        <w:t>Von der Leyen ist die Person, die mehr als jede andere die COVID-Maßnahmen der EU in ein Geschäft im Wert von mehreren zehn Milliarden Euro für Pfizer verwandelt hat. Sie handelte den größten Impfstoffvertrag in der europäischen Geschichte nicht im Rahmen eines transparenten öffentlichen Vergabeverfahrens aus, sondern über private Textnachrichten mit einem Unternehmenschef. Anschließend war sie dafür verantwortlich, dass diese Nachrichten vernichtet wurden oder verloren gingen, als Ermittler und Journaliste</w:t>
      </w:r>
      <w:r>
        <w:rPr>
          <w:color w:val="1A1A1A"/>
        </w:rPr>
        <w:t>n danach suchten. Gegen sie läuft nun ein strafrechtliches Ermittlungsverfahren der Europäischen Staatsanwaltschaft. Sie ist nach wie vor Kommissionspräsidentin.</w:t>
      </w:r>
    </w:p>
    <w:p w14:paraId="0C5A886C" w14:textId="77777777" w:rsidR="006F2AB4" w:rsidRDefault="002C6E1D">
      <w:pPr>
        <w:spacing w:before="60" w:after="60" w:line="288" w:lineRule="auto"/>
        <w:jc w:val="both"/>
      </w:pPr>
      <w:r>
        <w:rPr>
          <w:color w:val="1A1A1A"/>
        </w:rPr>
        <w:t xml:space="preserve">Ihr Werdegang erklärt, wie sie dorthin gelangte. 1958 in Brüssel als Tochter von Ernst Albrecht – einem Vertreter der Gründergeneration der EU-Beamten – geboren, wuchs sie inmitten der europäischen Institutionen auf. Sie besuchte die Europäische Schule in Brüssel, die eigens für die Kinder von EU-Beamten gegründet wurde: eine in sich geschlossene Welt, in der die Kinder der neuen herrschenden Klasse des Kontinents gemeinsam unterrichtet werden, getrennt von den Bürgern, die sie eines Tages regieren werden. </w:t>
      </w:r>
      <w:r>
        <w:rPr>
          <w:color w:val="1A1A1A"/>
        </w:rPr>
        <w:t>Sie studierte an der LSE und schloss ihr Medizinstudium in Hannover ab. Sie verbrachte mehrere Jahre in Kalifornien, während ihr Ehemann Heiko an der Stanford University tätig war.</w:t>
      </w:r>
    </w:p>
    <w:p w14:paraId="08305474" w14:textId="77777777" w:rsidR="006F2AB4" w:rsidRDefault="002C6E1D">
      <w:pPr>
        <w:spacing w:before="60" w:after="60" w:line="288" w:lineRule="auto"/>
        <w:jc w:val="both"/>
      </w:pPr>
      <w:r>
        <w:rPr>
          <w:color w:val="1A1A1A"/>
        </w:rPr>
        <w:lastRenderedPageBreak/>
        <w:t>Ihre politische Karriere wurde von Angela Merkel gestaltet. Merkel berief sie über einen Zeitraum von 14 Jahren in vier aufeinanderfolgende Ministerposten – Familien, Arbeit, Verteidigung, erneut Verteidigung. Sie war die einzige Ministerin, die während aller vier Merkel-Regierungen ununterbrochen im Amt war. Als ihre Amtszeit im Verteidigungsministerium durch Beschaffungsskandale und eine Untersuchung wegen Plagiats in ihrer Doktorarbeit, die ihr den Doktortitel kostete, in Mitleidenschaft gezogen wurde, e</w:t>
      </w:r>
      <w:r>
        <w:rPr>
          <w:color w:val="1A1A1A"/>
        </w:rPr>
        <w:t>ntließ Merkel sie nicht. Sie blieb im Kabinett und wurde vor Konsequenzen geschützt, bis Macrons Manöver im Jahr 2019 sie nach Brüssel beförderte – wo sie nicht mehr der Kontrolle durch den Deutschen Bundestag unterlag.</w:t>
      </w:r>
    </w:p>
    <w:p w14:paraId="4124A8FA" w14:textId="77777777" w:rsidR="006F2AB4" w:rsidRDefault="002C6E1D">
      <w:pPr>
        <w:spacing w:before="60" w:after="60" w:line="288" w:lineRule="auto"/>
        <w:jc w:val="both"/>
      </w:pPr>
      <w:r>
        <w:rPr>
          <w:color w:val="1A1A1A"/>
        </w:rPr>
        <w:t>Im September 2020 – im selben Monat, in dem die EU-Strategie zur Impfstoffbeschaffung fertiggestellt wurde – wurde ihr Ehemann Heiko medizinischer Direktor von Orgenesis, einem amerikanischen biopharmazeutischen Unternehmen, das in der Entwicklung von COVID-19-Impfstoffen tätig ist. Orgenesis erhielt in der Folge EU-Fördermittel. Von der Leyen legte diesen Interessenkonflikt nicht offen. Europaabgeordnete, die darauf hinwiesen, erhielten keine substanzielle Antwort. Es wurde keine Untersuchung eingeleitet.</w:t>
      </w:r>
    </w:p>
    <w:p w14:paraId="3673598F" w14:textId="77777777" w:rsidR="006F2AB4" w:rsidRDefault="002C6E1D">
      <w:pPr>
        <w:spacing w:before="60" w:after="60" w:line="288" w:lineRule="auto"/>
        <w:jc w:val="both"/>
      </w:pPr>
      <w:r>
        <w:rPr>
          <w:color w:val="1A1A1A"/>
        </w:rPr>
        <w:t>Sie verhandelte den Pfizer-Vertrag per SMS. Während gegen sie ermittelt wurde, nahm sie bei einer Zeremonie in Washington gemeinsam mit dem Pfizer-CEO eine Auszeichnung entgegen. Das Gericht der Europäischen Union befand ihre Erklärung für die fehlenden Nachrichten für unglaubwürdig. Die Ermittlungen der EPPO beziehen sich auf Einmischung in öffentliche Ämter, Vernichtung von Beweismitteln, Korruption und Interessenkonflikte. Im Juli 2024 wurde sie erneut zur Kommissionspräsidentin gewählt.</w:t>
      </w:r>
    </w:p>
    <w:p w14:paraId="023F9B85" w14:textId="77777777" w:rsidR="006F2AB4" w:rsidRDefault="002C6E1D">
      <w:pPr>
        <w:spacing w:before="40" w:after="100"/>
        <w:ind w:left="360"/>
      </w:pPr>
      <w:r>
        <w:rPr>
          <w:i/>
          <w:iCs/>
          <w:color w:val="555555"/>
          <w:sz w:val="17"/>
          <w:szCs w:val="17"/>
        </w:rPr>
        <w:t xml:space="preserve">Quellen: Britannica-Biografie; Wikipedia – Von-der-Leyen-Kommission I; </w:t>
      </w:r>
      <w:hyperlink r:id="rId6" w:history="1">
        <w:r>
          <w:rPr>
            <w:color w:val="1155CC"/>
            <w:sz w:val="18"/>
            <w:szCs w:val="18"/>
            <w:u w:val="single"/>
          </w:rPr>
          <w:t>France 24, 1. Dezember 2019</w:t>
        </w:r>
      </w:hyperlink>
      <w:r>
        <w:rPr>
          <w:i/>
          <w:iCs/>
          <w:color w:val="555555"/>
          <w:sz w:val="17"/>
          <w:szCs w:val="17"/>
        </w:rPr>
        <w:t xml:space="preserve">; </w:t>
      </w:r>
      <w:hyperlink r:id="rId7" w:history="1">
        <w:r>
          <w:rPr>
            <w:color w:val="1155CC"/>
            <w:sz w:val="18"/>
            <w:szCs w:val="18"/>
            <w:u w:val="single"/>
          </w:rPr>
          <w:t>Foreign Policy, 30. April 2021</w:t>
        </w:r>
      </w:hyperlink>
      <w:r>
        <w:rPr>
          <w:i/>
          <w:iCs/>
          <w:color w:val="555555"/>
          <w:sz w:val="17"/>
          <w:szCs w:val="17"/>
        </w:rPr>
        <w:t xml:space="preserve">; </w:t>
      </w:r>
      <w:hyperlink r:id="rId8" w:history="1">
        <w:r>
          <w:rPr>
            <w:color w:val="1155CC"/>
            <w:sz w:val="18"/>
            <w:szCs w:val="18"/>
            <w:u w:val="single"/>
          </w:rPr>
          <w:t>CDU-Geschichte-Biografie</w:t>
        </w:r>
      </w:hyperlink>
    </w:p>
    <w:p w14:paraId="5D3DE540" w14:textId="77777777" w:rsidR="006F2AB4" w:rsidRDefault="002C6E1D">
      <w:pPr>
        <w:pStyle w:val="berschrift2"/>
      </w:pPr>
      <w:r>
        <w:t>2.2 Albert Bourla – Vorstandsvorsitzender und CEO von Pfizer</w:t>
      </w:r>
    </w:p>
    <w:p w14:paraId="2A90C157" w14:textId="77777777" w:rsidR="006F2AB4" w:rsidRDefault="002C6E1D">
      <w:pPr>
        <w:spacing w:before="60" w:after="60" w:line="288" w:lineRule="auto"/>
        <w:jc w:val="both"/>
      </w:pPr>
      <w:r>
        <w:rPr>
          <w:color w:val="1A1A1A"/>
        </w:rPr>
        <w:t>Bourla ist das Unternehmenspendant in dieser Geschichte – der Empfänger von Von der Leyens Textnachrichten und der direkte Nutznießer der Verträge, die aus diesen Nachrichten hervorgingen. Er handelte den 35-Milliarden-Euro-Deal persönlich und außerhalb der formellen Beschaffungskanäle mit der Leiterin der Institution aus, die diesen Prozess im Namen von 450 Millionen Bürgern regulieren und überwachen sollte.</w:t>
      </w:r>
    </w:p>
    <w:p w14:paraId="0E55DF1B" w14:textId="77777777" w:rsidR="006F2AB4" w:rsidRDefault="002C6E1D">
      <w:pPr>
        <w:spacing w:before="60" w:after="60" w:line="288" w:lineRule="auto"/>
        <w:jc w:val="both"/>
      </w:pPr>
      <w:r>
        <w:rPr>
          <w:color w:val="1A1A1A"/>
        </w:rPr>
        <w:t>Er lehnte zweimal Einladungen ab, vor dem COVID-Ausschuss des Europäischen Parlaments auszusagen – jenem gewählten Gremium, das diese 450 Millionen Menschen vertritt. Diese Ablehnungen hatten für ihn keinerlei rechtliche Konsequenzen. Im November 2021, während gegen die Kommission wegen der Art und Weise, wie die Verträge ausgehandelt wurden, ermittelt wurde, traten er und Von der Leyen gemeinsam bei den „Distinguished Leadership Awards“ des Atlantic Council in Washington auf. Sie überreichte ihm seine Ausz</w:t>
      </w:r>
      <w:r>
        <w:rPr>
          <w:color w:val="1A1A1A"/>
        </w:rPr>
        <w:t>eichnung. Sie nannte ihn „lieber Albert“. Sie sagte, sie hätten einander vertraut. Er sagte, ihre Worte hätten ihn fast zu Tränen gerührt. Dies war kein privater Moment. Es war eine öffentliche Zeremonie mit Presseberichterstattung, an der Spender und Würdenträger teilnahmen. Keiner von beiden schien dies als unangemessen zu empfinden.</w:t>
      </w:r>
    </w:p>
    <w:p w14:paraId="0F5CC0A4" w14:textId="77777777" w:rsidR="006F2AB4" w:rsidRDefault="002C6E1D">
      <w:pPr>
        <w:spacing w:before="60" w:after="60" w:line="288" w:lineRule="auto"/>
        <w:jc w:val="both"/>
      </w:pPr>
      <w:r>
        <w:rPr>
          <w:color w:val="1A1A1A"/>
        </w:rPr>
        <w:t>Die Aktionäre von Pfizer profitierten enorm. Im Jahr 2021 meldete das Unternehmen einen Umsatz von 81,3 Milliarden US-Dollar – mehr als doppelt so viel wie im Vorjahr –, der überwiegend durch den Verkauf von COVID-Impfstoffen getrieben wurde, wobei die EU-Verträge einen wesentlichen Anteil ausmachten. Die Menschen, die das Risiko trugen – die Bürger, deren Regierungen ihr Klagerecht abgetreten hatten –, sahen nichts von diesem Gewinn.</w:t>
      </w:r>
    </w:p>
    <w:p w14:paraId="7456FF09" w14:textId="77777777" w:rsidR="006F2AB4" w:rsidRDefault="002C6E1D">
      <w:pPr>
        <w:spacing w:before="40" w:after="100"/>
        <w:ind w:left="360"/>
      </w:pPr>
      <w:r>
        <w:rPr>
          <w:i/>
          <w:iCs/>
          <w:color w:val="555555"/>
          <w:sz w:val="17"/>
          <w:szCs w:val="17"/>
        </w:rPr>
        <w:t>Quellen: New York Times, Mai 2022; Protokolle des COVID-Ausschusses des Europäischen Parlaments; Protokolle der Zeremonie des Atlantic Council vom 10. November 2021.</w:t>
      </w:r>
    </w:p>
    <w:p w14:paraId="4882E398" w14:textId="77777777" w:rsidR="006F2AB4" w:rsidRDefault="002C6E1D">
      <w:pPr>
        <w:pStyle w:val="berschrift2"/>
      </w:pPr>
      <w:r>
        <w:t>2.3 Stella Kyriakides – EU-Gesundheitskommissarin</w:t>
      </w:r>
    </w:p>
    <w:p w14:paraId="60622AA3" w14:textId="77777777" w:rsidR="006F2AB4" w:rsidRDefault="002C6E1D">
      <w:pPr>
        <w:spacing w:before="60" w:after="60" w:line="288" w:lineRule="auto"/>
        <w:jc w:val="both"/>
      </w:pPr>
      <w:r>
        <w:rPr>
          <w:color w:val="1A1A1A"/>
        </w:rPr>
        <w:t>Kyriakides ist die formelle Unterzeichnerin beider Verträge – ihre Unterschrift war für alle 27 Mitgliedstaaten rechtsverbindlich. Sie wurde von Von der Leyen in ihr Amt berufen. Vor den Europaabgeordneten beharrte sie darauf, dass „die Kommissionspräsidentin an keinen Verhandlungen über COVID-Impfstoffverträge beteiligt war“ – eine Behauptung, die in direktem Widerspruch zu Von der Leyens eigenem Eingeständnis gegenüber der New York Times steht, dass sie per SMS verhandelt habe. Eine Untersuchung gegen Kyr</w:t>
      </w:r>
      <w:r>
        <w:rPr>
          <w:color w:val="1A1A1A"/>
        </w:rPr>
        <w:t>iakides wurde nicht angekündigt.</w:t>
      </w:r>
    </w:p>
    <w:p w14:paraId="310AA90D" w14:textId="77777777" w:rsidR="006F2AB4" w:rsidRDefault="002C6E1D">
      <w:pPr>
        <w:spacing w:before="40" w:after="100"/>
        <w:ind w:left="360"/>
      </w:pPr>
      <w:r>
        <w:rPr>
          <w:i/>
          <w:iCs/>
          <w:color w:val="555555"/>
          <w:sz w:val="17"/>
          <w:szCs w:val="17"/>
        </w:rPr>
        <w:t>Quellen: Pfizer-APA-Vertrag (SANTE/2020/C3/043); Moderna-PA (SANTE/2021/C3/010); Protokolle der Anhörungen im Europäischen Parlament.</w:t>
      </w:r>
    </w:p>
    <w:p w14:paraId="0104188A" w14:textId="77777777" w:rsidR="006F2AB4" w:rsidRDefault="002C6E1D">
      <w:pPr>
        <w:pStyle w:val="berschrift2"/>
      </w:pPr>
      <w:r>
        <w:lastRenderedPageBreak/>
        <w:t>2.4 Emmanuel Macron – Präsident von Frankreich</w:t>
      </w:r>
    </w:p>
    <w:p w14:paraId="152E1E2F" w14:textId="77777777" w:rsidR="006F2AB4" w:rsidRDefault="002C6E1D">
      <w:pPr>
        <w:spacing w:before="60" w:after="60" w:line="288" w:lineRule="auto"/>
        <w:jc w:val="both"/>
      </w:pPr>
      <w:r>
        <w:rPr>
          <w:color w:val="1A1A1A"/>
        </w:rPr>
        <w:t>Macron ist das Bindeglied zwischen der Rothschild-Bankendynastie und der Person, die den 35-Milliarden-Euro-Vertrag mit Pfizer unterzeichnet hat. Diese Verbindung ist kein Vorwurf – sie ist in seiner eigenen Biografie dokumentiert, wurde von der „Financial Times“ bestätigt und geht aus den öffentlich zugänglichen Unterlagen zu seiner beruflichen Laufbahn hervor.</w:t>
      </w:r>
    </w:p>
    <w:p w14:paraId="25489F75" w14:textId="77777777" w:rsidR="006F2AB4" w:rsidRDefault="002C6E1D">
      <w:pPr>
        <w:spacing w:before="60" w:after="60" w:line="288" w:lineRule="auto"/>
        <w:jc w:val="both"/>
      </w:pPr>
      <w:r>
        <w:rPr>
          <w:color w:val="1A1A1A"/>
        </w:rPr>
        <w:t xml:space="preserve">Er trat 2008 bei Rothschild &amp; Cie Banque ein und stieg innerhalb von zwei Jahren zum Geschäftsführer auf – ein Aufstieg, der von Insidern als ungewöhnlich schnell beschrieben wird und ihm ein Einkommen von etwa 3 Millionen Euro einbrachte. Sein erstes großes Geschäft war die Vermittlung der 11,8-Milliarden-Dollar-Übernahme der Babynahrungssparte von Pfizer durch Nestlé im Jahr 2012. Diese Transaktion war sein beruflicher Einstieg bei Pfizer: Er verhandelte in deren Namen, lernte deren Interessen kennen und </w:t>
      </w:r>
      <w:r>
        <w:rPr>
          <w:color w:val="1A1A1A"/>
        </w:rPr>
        <w:t>baute Beziehungen zu deren Mitarbeitern auf. Die „Financial Times“ bezeichnete ihn 2018 als den Schützling von David de Rothschild. Rothschild selbst beschrieb Macrons Aufstieg zum Präsidenten als „eine günstige Konstellation der Sterne“.</w:t>
      </w:r>
    </w:p>
    <w:p w14:paraId="6E1A1B30" w14:textId="77777777" w:rsidR="006F2AB4" w:rsidRDefault="002C6E1D">
      <w:pPr>
        <w:spacing w:before="60" w:after="60" w:line="288" w:lineRule="auto"/>
        <w:jc w:val="both"/>
      </w:pPr>
      <w:r>
        <w:rPr>
          <w:color w:val="1A1A1A"/>
        </w:rPr>
        <w:t>Er verließ Rothschild im Jahr 2012, trat 2014 als Wirtschaftsminister in die Regierung ein, gründete 2016 seine eigene politische Bewegung und gewann 2017 die französischen Präsidentschaftswahlen. Im Jahr 2019 schlug er im festgefahrenen Europäischen Rat Ursula von der Leyen als Kommissionspräsidentin vor. Sie wurde mit neun Stimmen bestätigt. Im Jahr 2021 gehörte er zu den aggressivsten europäischen Staats- und Regierungschefs bei der Durchsetzung von Zugangsbeschränkungen für Ungeimpfte – Frankreichs Impf</w:t>
      </w:r>
      <w:r>
        <w:rPr>
          <w:color w:val="1A1A1A"/>
        </w:rPr>
        <w:t>pass schloss Ungeimpfte von Restaurants, Cafés, Fernzügen und den meisten öffentlichen Räumen aus.</w:t>
      </w:r>
    </w:p>
    <w:p w14:paraId="7A91F429" w14:textId="77777777" w:rsidR="006F2AB4" w:rsidRDefault="002C6E1D">
      <w:pPr>
        <w:spacing w:before="60" w:after="60" w:line="288" w:lineRule="auto"/>
        <w:jc w:val="both"/>
      </w:pPr>
      <w:r>
        <w:rPr>
          <w:color w:val="1A1A1A"/>
        </w:rPr>
        <w:t xml:space="preserve">Rothschild &amp; Co Wealth Management veröffentlichte daraufhin im April 2021 auf seiner eigenen Website ein Investoreninterview mit dem Investor-Relations-Beauftragten von Pfizer – präsentiert als routinemäßiger Vermögensverwaltungsinhalt, und zwar in der Zeit, als die von Macron eingesetzte Kommissionspräsidentin den 35-Milliarden-Euro-Vertrag mit Pfizer per privater SMS aushandelte. Dies ist keine Behauptung. Es handelt sich um Rothschilds eigene Veröffentlichung auf der eigenen Plattform, die für jedermann </w:t>
      </w:r>
      <w:r>
        <w:rPr>
          <w:color w:val="1A1A1A"/>
        </w:rPr>
        <w:t>zugänglich ist.</w:t>
      </w:r>
    </w:p>
    <w:p w14:paraId="4C50CAE5" w14:textId="77777777" w:rsidR="006F2AB4" w:rsidRDefault="002C6E1D">
      <w:pPr>
        <w:spacing w:before="60" w:after="60" w:line="288" w:lineRule="auto"/>
        <w:jc w:val="both"/>
      </w:pPr>
      <w:r>
        <w:rPr>
          <w:color w:val="1A1A1A"/>
        </w:rPr>
        <w:t>Die Frage, die sich daraus ergibt, ist nicht, ob geheime Anweisungen erteilt wurden. Es geht vielmehr darum, ob von einem Mann, der von Rothschild geprägt wurde, dessen erstes großes Geschäft für Pfizer war, der die Person eingesetzt hat, die den Pfizer-Vertrag unterzeichnet hat, und dessen ehemaliger Arbeitgeber während der Vergabephase gleichzeitig Anlegergutachten zu Pfizer veröffentlichte – ob von ihm gesagt werden kann, dass er unabhängig von den Interessen gehandelt hat, auf denen seine Karriere aufge</w:t>
      </w:r>
      <w:r>
        <w:rPr>
          <w:color w:val="1A1A1A"/>
        </w:rPr>
        <w:t>baut war. Die Antwort lautet angesichts der Beweislage: Nein.</w:t>
      </w:r>
    </w:p>
    <w:p w14:paraId="528492B9" w14:textId="77777777" w:rsidR="006F2AB4" w:rsidRDefault="002C6E1D">
      <w:pPr>
        <w:spacing w:before="40" w:after="100"/>
        <w:ind w:left="360"/>
      </w:pPr>
      <w:r>
        <w:rPr>
          <w:i/>
          <w:iCs/>
          <w:color w:val="555555"/>
          <w:sz w:val="17"/>
          <w:szCs w:val="17"/>
        </w:rPr>
        <w:t xml:space="preserve">Quellen: Wikipedia – Emmanuel Macron; Financial Times, 2018; </w:t>
      </w:r>
      <w:hyperlink r:id="rId9" w:history="1">
        <w:r>
          <w:rPr>
            <w:color w:val="1155CC"/>
            <w:sz w:val="18"/>
            <w:szCs w:val="18"/>
            <w:u w:val="single"/>
          </w:rPr>
          <w:t>Money.com (Macron / Nestlé-Pfizer-Deal)</w:t>
        </w:r>
      </w:hyperlink>
      <w:r>
        <w:rPr>
          <w:i/>
          <w:iCs/>
          <w:color w:val="555555"/>
          <w:sz w:val="17"/>
          <w:szCs w:val="17"/>
        </w:rPr>
        <w:t xml:space="preserve">; </w:t>
      </w:r>
      <w:hyperlink r:id="rId10" w:history="1">
        <w:r>
          <w:rPr>
            <w:color w:val="1155CC"/>
            <w:sz w:val="18"/>
            <w:szCs w:val="18"/>
            <w:u w:val="single"/>
          </w:rPr>
          <w:t>Factually.co (Verbindungen zwischen Macron und Rothschild)</w:t>
        </w:r>
      </w:hyperlink>
      <w:r>
        <w:rPr>
          <w:i/>
          <w:iCs/>
          <w:color w:val="555555"/>
          <w:sz w:val="17"/>
          <w:szCs w:val="17"/>
        </w:rPr>
        <w:t xml:space="preserve">; </w:t>
      </w:r>
      <w:hyperlink r:id="rId11" w:history="1">
        <w:r>
          <w:rPr>
            <w:color w:val="1155CC"/>
            <w:sz w:val="18"/>
            <w:szCs w:val="18"/>
            <w:u w:val="single"/>
          </w:rPr>
          <w:t>Great Game India</w:t>
        </w:r>
      </w:hyperlink>
    </w:p>
    <w:p w14:paraId="42FDB3C0" w14:textId="77777777" w:rsidR="006F2AB4" w:rsidRDefault="002C6E1D">
      <w:pPr>
        <w:pStyle w:val="berschrift2"/>
      </w:pPr>
      <w:r>
        <w:t>2.5 Angela Merkel – Bundeskanzlerin 2005–2021</w:t>
      </w:r>
    </w:p>
    <w:p w14:paraId="19E59FD9" w14:textId="77777777" w:rsidR="006F2AB4" w:rsidRDefault="002C6E1D">
      <w:pPr>
        <w:spacing w:before="60" w:after="60" w:line="288" w:lineRule="auto"/>
        <w:jc w:val="both"/>
      </w:pPr>
      <w:r>
        <w:rPr>
          <w:color w:val="1A1A1A"/>
        </w:rPr>
        <w:t>Merkels Rolle in dieser Geschichte ist weniger sichtbar als die von Von der Leyen, aber in gewisser Weise strukturell bedeutender. Sie ist die Person, die das Instrument – Von der Leyen – geschaffen hat und dann, sobald dieses Instrument auf EU-Ebene zum Einsatz kam, die finanziellen Interessen schützte, denen das Instrument diente.</w:t>
      </w:r>
    </w:p>
    <w:p w14:paraId="19320C2B" w14:textId="77777777" w:rsidR="006F2AB4" w:rsidRDefault="002C6E1D">
      <w:pPr>
        <w:spacing w:before="60" w:after="60" w:line="288" w:lineRule="auto"/>
        <w:jc w:val="both"/>
      </w:pPr>
      <w:r>
        <w:rPr>
          <w:color w:val="1A1A1A"/>
        </w:rPr>
        <w:t>Sie berief Von der Leyen 2005 in ihr erstes Bundesamt, als Von der Leyen noch eine unerprobte Regionalpolitikerin war. Im Laufe von 14 Jahren ernannte sie sie drei weitere Male. Als Von der Leyens Verteidigungsministerium in Beschaffungsskandale verwickelt war – ironischerweise ähnlich wie jener, wegen dem später auf EU-Ebene gegen sie ermittelt wurde – und als ihr aufgrund einer Plagiatsuntersuchung im Zusammenhang mit ihrer Doktorarbeit der Doktortitel aberkannt wurde, behielt Merkel sie in der Regierung.</w:t>
      </w:r>
      <w:r>
        <w:rPr>
          <w:color w:val="1A1A1A"/>
        </w:rPr>
        <w:t xml:space="preserve"> Sie wurde nicht abgesetzt. Sie wurde geschützt. Als Macron sie 2019 im Europäischen Rat vorschlug, wurde sie von Beobachtern als „eine Option, die Merkel nicht ablehnen konnte – aus ihrem eigenen Land, ihrer eigenen Partei, ihre persönliche Vertraute“ beschrieben. Merkel enthielt sich bei der Abstimmung im Parlament der Stimme. Von der Leyen wurde mit neun Stimmen bestätigt.</w:t>
      </w:r>
    </w:p>
    <w:p w14:paraId="30099A46" w14:textId="77777777" w:rsidR="006F2AB4" w:rsidRDefault="002C6E1D">
      <w:pPr>
        <w:spacing w:before="60" w:after="60" w:line="288" w:lineRule="auto"/>
        <w:jc w:val="both"/>
      </w:pPr>
      <w:r>
        <w:rPr>
          <w:color w:val="1A1A1A"/>
        </w:rPr>
        <w:t xml:space="preserve">Sobald ihre Protegé im Amt war, blockierte Merkel das ganze Jahr 2021 über die TRIPS-Ausnahmeregelung zum geistigen Eigentum. Diese Ausnahmeregelung – unterstützt von über 100 Regierungen aus Ländern mit niedrigem und mittlerem Einkommen – hätte die Monopole der Pharmakonzerne auf geistiges Eigentum ausgesetzt, die andere Länder daran hinderten, die Impfstoffe selbst herzustellen. Die Blockade stellte sicher, dass Pfizer und </w:t>
      </w:r>
      <w:r>
        <w:rPr>
          <w:color w:val="1A1A1A"/>
        </w:rPr>
        <w:lastRenderedPageBreak/>
        <w:t>Moderna die einzigen legalen Bezugsquellen blieben: dieselbe Monopolstellung, die die von von der Leyen ausgehandelten Verträge bereits im Voraus garantiert hatten. Merkels Vorgehen bei der WTO und den G7 sowie von der Leyens Vorgehen bei den Verträgen waren zwei Hälften desselben Schutzmechanismus. Für beides war kein Telefonat zwischen den beiden erforderlich. Die institutionellen Interessen waren gemeinsam. Die Ergebnisse waren aufeinander abgestimmt.</w:t>
      </w:r>
    </w:p>
    <w:p w14:paraId="7B70424C" w14:textId="77777777" w:rsidR="006F2AB4" w:rsidRDefault="002C6E1D">
      <w:pPr>
        <w:spacing w:before="60" w:after="60" w:line="288" w:lineRule="auto"/>
        <w:jc w:val="both"/>
      </w:pPr>
      <w:r>
        <w:rPr>
          <w:color w:val="1A1A1A"/>
        </w:rPr>
        <w:t>Die tiefgreifendere Frage zu Merkel – jene, die ihre Stasi-Akte vielleicht beantworten könnte und deren Beantwortung sie verweigert hat – ist, ob ihre gesamte politische Karriere auf einem Fundament errichtet wurde, das diese Art institutioneller Loyalität gegenüber der Macht – statt der Rechenschaftspflicht gegenüber den Bürgern – nicht zu einer Ausnahme, sondern zur Gewohnheit machte. Diese Frage bleibt offen. Die Akte bleibt versiegelt.</w:t>
      </w:r>
    </w:p>
    <w:p w14:paraId="1CAC59C5" w14:textId="77777777" w:rsidR="006F2AB4" w:rsidRDefault="002C6E1D">
      <w:pPr>
        <w:spacing w:before="40" w:after="100"/>
        <w:ind w:left="360"/>
      </w:pPr>
      <w:hyperlink r:id="rId12" w:history="1">
        <w:r>
          <w:rPr>
            <w:color w:val="1155CC"/>
            <w:sz w:val="18"/>
            <w:szCs w:val="18"/>
            <w:u w:val="single"/>
          </w:rPr>
          <w:t>Human Rights Watch, 14. Juni 2021</w:t>
        </w:r>
      </w:hyperlink>
      <w:r>
        <w:rPr>
          <w:i/>
          <w:iCs/>
          <w:color w:val="555555"/>
          <w:sz w:val="17"/>
          <w:szCs w:val="17"/>
        </w:rPr>
        <w:t xml:space="preserve">; </w:t>
      </w:r>
      <w:hyperlink r:id="rId13" w:history="1">
        <w:r>
          <w:rPr>
            <w:color w:val="1155CC"/>
            <w:sz w:val="18"/>
            <w:szCs w:val="18"/>
            <w:u w:val="single"/>
          </w:rPr>
          <w:t>France 24, 1. Dezember 2019</w:t>
        </w:r>
      </w:hyperlink>
      <w:r>
        <w:rPr>
          <w:i/>
          <w:iCs/>
          <w:color w:val="555555"/>
          <w:sz w:val="17"/>
          <w:szCs w:val="17"/>
        </w:rPr>
        <w:t xml:space="preserve">; </w:t>
      </w:r>
      <w:hyperlink r:id="rId14" w:history="1">
        <w:r>
          <w:rPr>
            <w:color w:val="1155CC"/>
            <w:sz w:val="18"/>
            <w:szCs w:val="18"/>
            <w:u w:val="single"/>
          </w:rPr>
          <w:t>Foreign Policy, 30. April 2021</w:t>
        </w:r>
      </w:hyperlink>
      <w:r>
        <w:rPr>
          <w:i/>
          <w:iCs/>
          <w:color w:val="555555"/>
          <w:sz w:val="17"/>
          <w:szCs w:val="17"/>
        </w:rPr>
        <w:t>; Wikipedia – Ursula von der Leyen; CDU-Geschichte – Biografie; ResearchGate – „Against All Odds“ (November 2021)</w:t>
      </w:r>
    </w:p>
    <w:p w14:paraId="1AFC8D4C" w14:textId="77777777" w:rsidR="006F2AB4" w:rsidRDefault="002C6E1D">
      <w:pPr>
        <w:pStyle w:val="berschrift2"/>
      </w:pPr>
      <w:r>
        <w:t>2.6 Unterzeichnende Unternehmen</w:t>
      </w:r>
    </w:p>
    <w:p w14:paraId="65C54EF6" w14:textId="77777777" w:rsidR="006F2AB4" w:rsidRDefault="002C6E1D">
      <w:pPr>
        <w:spacing w:before="60" w:after="60" w:line="288" w:lineRule="auto"/>
        <w:jc w:val="both"/>
      </w:pPr>
      <w:r>
        <w:rPr>
          <w:color w:val="1A1A1A"/>
        </w:rPr>
        <w:t>Nanette Cocero, Global President of Vaccines bei Pfizer, unterzeichnete die Pfizer-APA. Stéphane Bancel, Geschäftsführer der Moderna Switzerland GmbH, unterzeichnete die Moderna-APA. Beide sind rechtlich für die vertraglichen Zusicherungen ihrer Unternehmen verantwortlich. Gegen keinen der beiden wurde eine Untersuchung angekündigt.</w:t>
      </w:r>
    </w:p>
    <w:p w14:paraId="5D730F9A" w14:textId="77777777" w:rsidR="006F2AB4" w:rsidRDefault="006F2AB4">
      <w:pPr>
        <w:spacing w:after="120"/>
      </w:pPr>
    </w:p>
    <w:p w14:paraId="222A77CA" w14:textId="77777777" w:rsidR="006F2AB4" w:rsidRDefault="002C6E1D">
      <w:pPr>
        <w:pStyle w:val="berschrift1"/>
        <w:pBdr>
          <w:bottom w:val="single" w:sz="8" w:space="4" w:color="1A1A2E"/>
        </w:pBdr>
      </w:pPr>
      <w:r>
        <w:t>3. Tabelle zur Rechenschaftspflicht</w:t>
      </w:r>
    </w:p>
    <w:p w14:paraId="524248FD" w14:textId="77777777" w:rsidR="006F2AB4" w:rsidRDefault="006F2AB4">
      <w:pPr>
        <w:spacing w:after="4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00"/>
        <w:gridCol w:w="2321"/>
        <w:gridCol w:w="3728"/>
        <w:gridCol w:w="1931"/>
      </w:tblGrid>
      <w:tr w:rsidR="006F2AB4" w14:paraId="7EE93B4A" w14:textId="77777777">
        <w:tblPrEx>
          <w:tblCellMar>
            <w:top w:w="0" w:type="dxa"/>
            <w:bottom w:w="0" w:type="dxa"/>
          </w:tblCellMar>
        </w:tblPrEx>
        <w:trPr>
          <w:tblHeader/>
        </w:trPr>
        <w:tc>
          <w:tcPr>
            <w:tcW w:w="2200" w:type="dxa"/>
            <w:tcBorders>
              <w:top w:val="single" w:sz="1" w:space="0" w:color="CCCCCC"/>
              <w:left w:val="single" w:sz="1" w:space="0" w:color="CCCCCC"/>
              <w:bottom w:val="single" w:sz="1" w:space="0" w:color="CCCCCC"/>
              <w:right w:val="single" w:sz="1" w:space="0" w:color="CCCCCC"/>
            </w:tcBorders>
            <w:shd w:val="clear" w:color="auto" w:fill="1A1A2E"/>
            <w:tcMar>
              <w:top w:w="100" w:type="dxa"/>
              <w:left w:w="150" w:type="dxa"/>
              <w:bottom w:w="100" w:type="dxa"/>
              <w:right w:w="150" w:type="dxa"/>
            </w:tcMar>
          </w:tcPr>
          <w:p w14:paraId="53F6EC1F" w14:textId="77777777" w:rsidR="006F2AB4" w:rsidRDefault="002C6E1D">
            <w:pPr>
              <w:spacing w:before="60" w:after="60"/>
            </w:pPr>
            <w:r>
              <w:rPr>
                <w:b/>
                <w:bCs/>
                <w:color w:val="FFFFFF"/>
                <w:sz w:val="18"/>
                <w:szCs w:val="18"/>
              </w:rPr>
              <w:t>Person</w:t>
            </w:r>
          </w:p>
        </w:tc>
        <w:tc>
          <w:tcPr>
            <w:tcW w:w="2200" w:type="dxa"/>
            <w:tcBorders>
              <w:top w:val="single" w:sz="1" w:space="0" w:color="CCCCCC"/>
              <w:left w:val="single" w:sz="1" w:space="0" w:color="CCCCCC"/>
              <w:bottom w:val="single" w:sz="1" w:space="0" w:color="CCCCCC"/>
              <w:right w:val="single" w:sz="1" w:space="0" w:color="CCCCCC"/>
            </w:tcBorders>
            <w:shd w:val="clear" w:color="auto" w:fill="1A1A2E"/>
            <w:tcMar>
              <w:top w:w="100" w:type="dxa"/>
              <w:left w:w="150" w:type="dxa"/>
              <w:bottom w:w="100" w:type="dxa"/>
              <w:right w:w="150" w:type="dxa"/>
            </w:tcMar>
          </w:tcPr>
          <w:p w14:paraId="42CD55C6" w14:textId="77777777" w:rsidR="006F2AB4" w:rsidRDefault="002C6E1D">
            <w:pPr>
              <w:spacing w:before="60" w:after="60"/>
            </w:pPr>
            <w:r>
              <w:rPr>
                <w:b/>
                <w:bCs/>
                <w:color w:val="FFFFFF"/>
                <w:sz w:val="18"/>
                <w:szCs w:val="18"/>
              </w:rPr>
              <w:t>Rolle</w:t>
            </w:r>
          </w:p>
        </w:tc>
        <w:tc>
          <w:tcPr>
            <w:tcW w:w="3880" w:type="dxa"/>
            <w:tcBorders>
              <w:top w:val="single" w:sz="1" w:space="0" w:color="CCCCCC"/>
              <w:left w:val="single" w:sz="1" w:space="0" w:color="CCCCCC"/>
              <w:bottom w:val="single" w:sz="1" w:space="0" w:color="CCCCCC"/>
              <w:right w:val="single" w:sz="1" w:space="0" w:color="CCCCCC"/>
            </w:tcBorders>
            <w:shd w:val="clear" w:color="auto" w:fill="1A1A2E"/>
            <w:tcMar>
              <w:top w:w="100" w:type="dxa"/>
              <w:left w:w="150" w:type="dxa"/>
              <w:bottom w:w="100" w:type="dxa"/>
              <w:right w:w="150" w:type="dxa"/>
            </w:tcMar>
          </w:tcPr>
          <w:p w14:paraId="5A607813" w14:textId="77777777" w:rsidR="006F2AB4" w:rsidRDefault="002C6E1D">
            <w:pPr>
              <w:spacing w:before="60" w:after="60"/>
            </w:pPr>
            <w:r>
              <w:rPr>
                <w:b/>
                <w:bCs/>
                <w:color w:val="FFFFFF"/>
                <w:sz w:val="18"/>
                <w:szCs w:val="18"/>
              </w:rPr>
              <w:t>Wichtige Maßnahme</w:t>
            </w:r>
          </w:p>
        </w:tc>
        <w:tc>
          <w:tcPr>
            <w:tcW w:w="1800" w:type="dxa"/>
            <w:tcBorders>
              <w:top w:val="single" w:sz="1" w:space="0" w:color="CCCCCC"/>
              <w:left w:val="single" w:sz="1" w:space="0" w:color="CCCCCC"/>
              <w:bottom w:val="single" w:sz="1" w:space="0" w:color="CCCCCC"/>
              <w:right w:val="single" w:sz="1" w:space="0" w:color="CCCCCC"/>
            </w:tcBorders>
            <w:shd w:val="clear" w:color="auto" w:fill="1A1A2E"/>
            <w:tcMar>
              <w:top w:w="100" w:type="dxa"/>
              <w:left w:w="150" w:type="dxa"/>
              <w:bottom w:w="100" w:type="dxa"/>
              <w:right w:w="150" w:type="dxa"/>
            </w:tcMar>
          </w:tcPr>
          <w:p w14:paraId="41EB675D" w14:textId="77777777" w:rsidR="006F2AB4" w:rsidRDefault="002C6E1D">
            <w:pPr>
              <w:spacing w:before="60" w:after="60"/>
            </w:pPr>
            <w:r>
              <w:rPr>
                <w:b/>
                <w:bCs/>
                <w:color w:val="FFFFFF"/>
                <w:sz w:val="18"/>
                <w:szCs w:val="18"/>
              </w:rPr>
              <w:t>Status</w:t>
            </w:r>
          </w:p>
        </w:tc>
      </w:tr>
      <w:tr w:rsidR="006F2AB4" w14:paraId="3180C002"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8F8"/>
            <w:tcMar>
              <w:top w:w="100" w:type="dxa"/>
              <w:left w:w="150" w:type="dxa"/>
              <w:bottom w:w="100" w:type="dxa"/>
              <w:right w:w="150" w:type="dxa"/>
            </w:tcMar>
          </w:tcPr>
          <w:p w14:paraId="54948449" w14:textId="77777777" w:rsidR="006F2AB4" w:rsidRDefault="002C6E1D">
            <w:pPr>
              <w:spacing w:before="60" w:after="60"/>
            </w:pPr>
            <w:r>
              <w:rPr>
                <w:color w:val="1A1A1A"/>
                <w:sz w:val="18"/>
                <w:szCs w:val="18"/>
              </w:rPr>
              <w:t>Ursula von der Leyen</w:t>
            </w:r>
          </w:p>
        </w:tc>
        <w:tc>
          <w:tcPr>
            <w:tcW w:w="2200" w:type="dxa"/>
            <w:tcBorders>
              <w:top w:val="single" w:sz="1" w:space="0" w:color="CCCCCC"/>
              <w:left w:val="single" w:sz="1" w:space="0" w:color="CCCCCC"/>
              <w:bottom w:val="single" w:sz="1" w:space="0" w:color="CCCCCC"/>
              <w:right w:val="single" w:sz="1" w:space="0" w:color="CCCCCC"/>
            </w:tcBorders>
            <w:shd w:val="clear" w:color="auto" w:fill="FFF8F8"/>
            <w:tcMar>
              <w:top w:w="100" w:type="dxa"/>
              <w:left w:w="150" w:type="dxa"/>
              <w:bottom w:w="100" w:type="dxa"/>
              <w:right w:w="150" w:type="dxa"/>
            </w:tcMar>
          </w:tcPr>
          <w:p w14:paraId="60A3CED7" w14:textId="77777777" w:rsidR="006F2AB4" w:rsidRDefault="002C6E1D">
            <w:pPr>
              <w:spacing w:before="60" w:after="60"/>
            </w:pPr>
            <w:r>
              <w:rPr>
                <w:color w:val="1A1A1A"/>
                <w:sz w:val="18"/>
                <w:szCs w:val="18"/>
              </w:rPr>
              <w:t>Präsidentin der EU-Kommission</w:t>
            </w:r>
          </w:p>
        </w:tc>
        <w:tc>
          <w:tcPr>
            <w:tcW w:w="3880" w:type="dxa"/>
            <w:tcBorders>
              <w:top w:val="single" w:sz="1" w:space="0" w:color="CCCCCC"/>
              <w:left w:val="single" w:sz="1" w:space="0" w:color="CCCCCC"/>
              <w:bottom w:val="single" w:sz="1" w:space="0" w:color="CCCCCC"/>
              <w:right w:val="single" w:sz="1" w:space="0" w:color="CCCCCC"/>
            </w:tcBorders>
            <w:shd w:val="clear" w:color="auto" w:fill="FFF8F8"/>
            <w:tcMar>
              <w:top w:w="100" w:type="dxa"/>
              <w:left w:w="150" w:type="dxa"/>
              <w:bottom w:w="100" w:type="dxa"/>
              <w:right w:w="150" w:type="dxa"/>
            </w:tcMar>
          </w:tcPr>
          <w:p w14:paraId="074304A5" w14:textId="77777777" w:rsidR="006F2AB4" w:rsidRDefault="002C6E1D">
            <w:pPr>
              <w:spacing w:before="60" w:after="60"/>
            </w:pPr>
            <w:r>
              <w:rPr>
                <w:color w:val="1A1A1A"/>
                <w:sz w:val="18"/>
                <w:szCs w:val="18"/>
              </w:rPr>
              <w:t>Pfizer-Vertrag persönlich per privater SMS ausgehandelt; Nachrichten gelöscht/verloren; Ehemann im selben Monat, in dem die Beschaffung abgeschlossen wurde, zum Pharma-Manager ernannt</w:t>
            </w:r>
          </w:p>
        </w:tc>
        <w:tc>
          <w:tcPr>
            <w:tcW w:w="1800" w:type="dxa"/>
            <w:tcBorders>
              <w:top w:val="single" w:sz="1" w:space="0" w:color="CCCCCC"/>
              <w:left w:val="single" w:sz="1" w:space="0" w:color="CCCCCC"/>
              <w:bottom w:val="single" w:sz="1" w:space="0" w:color="CCCCCC"/>
              <w:right w:val="single" w:sz="1" w:space="0" w:color="CCCCCC"/>
            </w:tcBorders>
            <w:shd w:val="clear" w:color="auto" w:fill="FFF8F8"/>
            <w:tcMar>
              <w:top w:w="100" w:type="dxa"/>
              <w:left w:w="150" w:type="dxa"/>
              <w:bottom w:w="100" w:type="dxa"/>
              <w:right w:w="150" w:type="dxa"/>
            </w:tcMar>
          </w:tcPr>
          <w:p w14:paraId="3115EF0E" w14:textId="77777777" w:rsidR="006F2AB4" w:rsidRDefault="002C6E1D">
            <w:pPr>
              <w:spacing w:before="60" w:after="60"/>
            </w:pPr>
            <w:r>
              <w:rPr>
                <w:b/>
                <w:bCs/>
                <w:color w:val="CC0000"/>
                <w:sz w:val="18"/>
                <w:szCs w:val="18"/>
              </w:rPr>
              <w:t>Gegenstand einer strafrechtlichen Untersuchung der Europäischen Staatsanwaltschaft</w:t>
            </w:r>
          </w:p>
        </w:tc>
      </w:tr>
      <w:tr w:rsidR="006F2AB4" w14:paraId="1F7497CF"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3352D0FD" w14:textId="77777777" w:rsidR="006F2AB4" w:rsidRDefault="002C6E1D">
            <w:pPr>
              <w:spacing w:before="60" w:after="60"/>
            </w:pPr>
            <w:r>
              <w:rPr>
                <w:color w:val="1A1A1A"/>
                <w:sz w:val="18"/>
                <w:szCs w:val="18"/>
              </w:rPr>
              <w:t>Albert Bourla</w:t>
            </w:r>
          </w:p>
        </w:tc>
        <w:tc>
          <w:tcPr>
            <w:tcW w:w="220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0B283F99" w14:textId="77777777" w:rsidR="006F2AB4" w:rsidRDefault="002C6E1D">
            <w:pPr>
              <w:spacing w:before="60" w:after="60"/>
            </w:pPr>
            <w:r>
              <w:rPr>
                <w:color w:val="1A1A1A"/>
                <w:sz w:val="18"/>
                <w:szCs w:val="18"/>
              </w:rPr>
              <w:t>CEO von Pfizer</w:t>
            </w:r>
          </w:p>
        </w:tc>
        <w:tc>
          <w:tcPr>
            <w:tcW w:w="388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221C8136" w14:textId="77777777" w:rsidR="006F2AB4" w:rsidRDefault="002C6E1D">
            <w:pPr>
              <w:spacing w:before="60" w:after="60"/>
            </w:pPr>
            <w:r>
              <w:rPr>
                <w:color w:val="1A1A1A"/>
                <w:sz w:val="18"/>
                <w:szCs w:val="18"/>
              </w:rPr>
              <w:t>Verhandelte per SMS mit VdL; weigerte sich zweimal, vor dem Parlament auszusagen; erhielt gemeinsam mit VdL den Atlantic-Council-Preis, während gegen ihn ermittelt wurde</w:t>
            </w:r>
          </w:p>
        </w:tc>
        <w:tc>
          <w:tcPr>
            <w:tcW w:w="180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3A95CA09" w14:textId="77777777" w:rsidR="006F2AB4" w:rsidRDefault="002C6E1D">
            <w:pPr>
              <w:spacing w:before="60" w:after="60"/>
            </w:pPr>
            <w:r>
              <w:rPr>
                <w:color w:val="1A1A1A"/>
                <w:sz w:val="18"/>
                <w:szCs w:val="18"/>
              </w:rPr>
              <w:t>Keine Ermittlungen</w:t>
            </w:r>
          </w:p>
        </w:tc>
      </w:tr>
      <w:tr w:rsidR="006F2AB4" w14:paraId="3D33F88F"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50" w:type="dxa"/>
              <w:bottom w:w="100" w:type="dxa"/>
              <w:right w:w="150" w:type="dxa"/>
            </w:tcMar>
          </w:tcPr>
          <w:p w14:paraId="56F0A030" w14:textId="77777777" w:rsidR="006F2AB4" w:rsidRDefault="002C6E1D">
            <w:pPr>
              <w:spacing w:before="60" w:after="60"/>
            </w:pPr>
            <w:r>
              <w:rPr>
                <w:color w:val="1A1A1A"/>
                <w:sz w:val="18"/>
                <w:szCs w:val="18"/>
              </w:rPr>
              <w:t>Stella Kyriakides</w:t>
            </w:r>
          </w:p>
        </w:tc>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50" w:type="dxa"/>
              <w:bottom w:w="100" w:type="dxa"/>
              <w:right w:w="150" w:type="dxa"/>
            </w:tcMar>
          </w:tcPr>
          <w:p w14:paraId="683E2FEC" w14:textId="77777777" w:rsidR="006F2AB4" w:rsidRDefault="002C6E1D">
            <w:pPr>
              <w:spacing w:before="60" w:after="60"/>
            </w:pPr>
            <w:r>
              <w:rPr>
                <w:color w:val="1A1A1A"/>
                <w:sz w:val="18"/>
                <w:szCs w:val="18"/>
              </w:rPr>
              <w:t>EU-Gesundheitskommissarin</w:t>
            </w:r>
          </w:p>
        </w:tc>
        <w:tc>
          <w:tcPr>
            <w:tcW w:w="388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50" w:type="dxa"/>
              <w:bottom w:w="100" w:type="dxa"/>
              <w:right w:w="150" w:type="dxa"/>
            </w:tcMar>
          </w:tcPr>
          <w:p w14:paraId="34C14C73" w14:textId="77777777" w:rsidR="006F2AB4" w:rsidRDefault="002C6E1D">
            <w:pPr>
              <w:spacing w:before="60" w:after="60"/>
            </w:pPr>
            <w:r>
              <w:rPr>
                <w:color w:val="1A1A1A"/>
                <w:sz w:val="18"/>
                <w:szCs w:val="18"/>
              </w:rPr>
              <w:t>Formelle Unterzeichnerin beider Verträge; bestritt die Beteiligung von VdL – was durch VdLs eigenes Geständnis gegenüber der „New York Times“ direkt widerlegt wurde</w:t>
            </w:r>
          </w:p>
        </w:tc>
        <w:tc>
          <w:tcPr>
            <w:tcW w:w="180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50" w:type="dxa"/>
              <w:bottom w:w="100" w:type="dxa"/>
              <w:right w:w="150" w:type="dxa"/>
            </w:tcMar>
          </w:tcPr>
          <w:p w14:paraId="769E97D7" w14:textId="77777777" w:rsidR="006F2AB4" w:rsidRDefault="002C6E1D">
            <w:pPr>
              <w:spacing w:before="60" w:after="60"/>
            </w:pPr>
            <w:r>
              <w:rPr>
                <w:color w:val="1A1A1A"/>
                <w:sz w:val="18"/>
                <w:szCs w:val="18"/>
              </w:rPr>
              <w:t>Keine Untersuchung</w:t>
            </w:r>
          </w:p>
        </w:tc>
      </w:tr>
      <w:tr w:rsidR="006F2AB4" w14:paraId="0A1845C9"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0DD35DB2" w14:textId="77777777" w:rsidR="006F2AB4" w:rsidRDefault="002C6E1D">
            <w:pPr>
              <w:spacing w:before="60" w:after="60"/>
            </w:pPr>
            <w:r>
              <w:rPr>
                <w:color w:val="1A1A1A"/>
                <w:sz w:val="18"/>
                <w:szCs w:val="18"/>
              </w:rPr>
              <w:t>Emmanuel Macron</w:t>
            </w:r>
          </w:p>
        </w:tc>
        <w:tc>
          <w:tcPr>
            <w:tcW w:w="220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00BE1DAE" w14:textId="77777777" w:rsidR="006F2AB4" w:rsidRDefault="002C6E1D">
            <w:pPr>
              <w:spacing w:before="60" w:after="60"/>
            </w:pPr>
            <w:r>
              <w:rPr>
                <w:color w:val="1A1A1A"/>
                <w:sz w:val="18"/>
                <w:szCs w:val="18"/>
              </w:rPr>
              <w:t>Präsident von Frankreich</w:t>
            </w:r>
          </w:p>
        </w:tc>
        <w:tc>
          <w:tcPr>
            <w:tcW w:w="388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18854F8A" w14:textId="77777777" w:rsidR="006F2AB4" w:rsidRDefault="002C6E1D">
            <w:pPr>
              <w:spacing w:before="60" w:after="60"/>
            </w:pPr>
            <w:r>
              <w:rPr>
                <w:color w:val="1A1A1A"/>
                <w:sz w:val="18"/>
                <w:szCs w:val="18"/>
              </w:rPr>
              <w:t>Wurde zum Kommissionspräsidenten ernannt; setzte sich für strenge Beschränkungen beim Zugang zu Impfstoffen ein; ehemaliger Rothschild-Banker; sein erster großer Deal betraf Pfizer</w:t>
            </w:r>
          </w:p>
        </w:tc>
        <w:tc>
          <w:tcPr>
            <w:tcW w:w="180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4D4924DE" w14:textId="77777777" w:rsidR="006F2AB4" w:rsidRDefault="002C6E1D">
            <w:pPr>
              <w:spacing w:before="60" w:after="60"/>
            </w:pPr>
            <w:r>
              <w:rPr>
                <w:color w:val="1A1A1A"/>
                <w:sz w:val="18"/>
                <w:szCs w:val="18"/>
              </w:rPr>
              <w:t>Keine Ermittlungen</w:t>
            </w:r>
          </w:p>
        </w:tc>
      </w:tr>
      <w:tr w:rsidR="006F2AB4" w14:paraId="5EF936D2"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50" w:type="dxa"/>
              <w:bottom w:w="100" w:type="dxa"/>
              <w:right w:w="150" w:type="dxa"/>
            </w:tcMar>
          </w:tcPr>
          <w:p w14:paraId="6039E5D1" w14:textId="77777777" w:rsidR="006F2AB4" w:rsidRDefault="002C6E1D">
            <w:pPr>
              <w:spacing w:before="60" w:after="60"/>
            </w:pPr>
            <w:r>
              <w:rPr>
                <w:color w:val="1A1A1A"/>
                <w:sz w:val="18"/>
                <w:szCs w:val="18"/>
              </w:rPr>
              <w:t>Angela Merkel</w:t>
            </w:r>
          </w:p>
        </w:tc>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50" w:type="dxa"/>
              <w:bottom w:w="100" w:type="dxa"/>
              <w:right w:w="150" w:type="dxa"/>
            </w:tcMar>
          </w:tcPr>
          <w:p w14:paraId="28326CCD" w14:textId="77777777" w:rsidR="006F2AB4" w:rsidRDefault="002C6E1D">
            <w:pPr>
              <w:spacing w:before="60" w:after="60"/>
            </w:pPr>
            <w:r>
              <w:rPr>
                <w:color w:val="1A1A1A"/>
                <w:sz w:val="18"/>
                <w:szCs w:val="18"/>
              </w:rPr>
              <w:t>Deutsche Bundeskanzlerin 2005–2021</w:t>
            </w:r>
          </w:p>
        </w:tc>
        <w:tc>
          <w:tcPr>
            <w:tcW w:w="388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50" w:type="dxa"/>
              <w:bottom w:w="100" w:type="dxa"/>
              <w:right w:w="150" w:type="dxa"/>
            </w:tcMar>
          </w:tcPr>
          <w:p w14:paraId="3184C133" w14:textId="77777777" w:rsidR="006F2AB4" w:rsidRDefault="002C6E1D">
            <w:pPr>
              <w:spacing w:before="60" w:after="60"/>
            </w:pPr>
            <w:r>
              <w:rPr>
                <w:color w:val="1A1A1A"/>
                <w:sz w:val="18"/>
                <w:szCs w:val="18"/>
              </w:rPr>
              <w:t xml:space="preserve">Blockierte TRIPS-Ausnahmeregelung zum Schutz von Pharma-Monopolen; VdLs politische Förderin seit 14 Jahren; </w:t>
            </w:r>
            <w:r>
              <w:rPr>
                <w:color w:val="1A1A1A"/>
                <w:sz w:val="18"/>
                <w:szCs w:val="18"/>
              </w:rPr>
              <w:lastRenderedPageBreak/>
              <w:t>ernannte VdL in vier aufeinanderfolgende Kabinettsposten</w:t>
            </w:r>
          </w:p>
        </w:tc>
        <w:tc>
          <w:tcPr>
            <w:tcW w:w="180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50" w:type="dxa"/>
              <w:bottom w:w="100" w:type="dxa"/>
              <w:right w:w="150" w:type="dxa"/>
            </w:tcMar>
          </w:tcPr>
          <w:p w14:paraId="4CF49B5E" w14:textId="77777777" w:rsidR="006F2AB4" w:rsidRDefault="002C6E1D">
            <w:pPr>
              <w:spacing w:before="60" w:after="60"/>
            </w:pPr>
            <w:r>
              <w:rPr>
                <w:color w:val="1A1A1A"/>
                <w:sz w:val="18"/>
                <w:szCs w:val="18"/>
              </w:rPr>
              <w:lastRenderedPageBreak/>
              <w:t>Keine Untersuchung</w:t>
            </w:r>
          </w:p>
        </w:tc>
      </w:tr>
      <w:tr w:rsidR="006F2AB4" w14:paraId="0DC8946E"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19B8EFAE" w14:textId="77777777" w:rsidR="006F2AB4" w:rsidRDefault="002C6E1D">
            <w:pPr>
              <w:spacing w:before="60" w:after="60"/>
            </w:pPr>
            <w:r>
              <w:rPr>
                <w:color w:val="1A1A1A"/>
                <w:sz w:val="18"/>
                <w:szCs w:val="18"/>
              </w:rPr>
              <w:t>Nanette Cocero</w:t>
            </w:r>
          </w:p>
        </w:tc>
        <w:tc>
          <w:tcPr>
            <w:tcW w:w="220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66CFB46F" w14:textId="77777777" w:rsidR="006F2AB4" w:rsidRDefault="002C6E1D">
            <w:pPr>
              <w:spacing w:before="60" w:after="60"/>
            </w:pPr>
            <w:r>
              <w:rPr>
                <w:color w:val="1A1A1A"/>
                <w:sz w:val="18"/>
                <w:szCs w:val="18"/>
              </w:rPr>
              <w:t>Präsidentin von Pfizer Vaccines</w:t>
            </w:r>
          </w:p>
        </w:tc>
        <w:tc>
          <w:tcPr>
            <w:tcW w:w="388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4949F871" w14:textId="77777777" w:rsidR="006F2AB4" w:rsidRDefault="002C6E1D">
            <w:pPr>
              <w:spacing w:before="60" w:after="60"/>
            </w:pPr>
            <w:r>
              <w:rPr>
                <w:color w:val="1A1A1A"/>
                <w:sz w:val="18"/>
                <w:szCs w:val="18"/>
              </w:rPr>
              <w:t>Unterzeichnete das für 27 Mitgliedstaaten verbindliche APA von Pfizer</w:t>
            </w:r>
          </w:p>
        </w:tc>
        <w:tc>
          <w:tcPr>
            <w:tcW w:w="180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35CCD307" w14:textId="77777777" w:rsidR="006F2AB4" w:rsidRDefault="002C6E1D">
            <w:pPr>
              <w:spacing w:before="60" w:after="60"/>
            </w:pPr>
            <w:r>
              <w:rPr>
                <w:color w:val="1A1A1A"/>
                <w:sz w:val="18"/>
                <w:szCs w:val="18"/>
              </w:rPr>
              <w:t>Keine Untersuchung</w:t>
            </w:r>
          </w:p>
        </w:tc>
      </w:tr>
      <w:tr w:rsidR="006F2AB4" w14:paraId="780361EF"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50" w:type="dxa"/>
              <w:bottom w:w="100" w:type="dxa"/>
              <w:right w:w="150" w:type="dxa"/>
            </w:tcMar>
          </w:tcPr>
          <w:p w14:paraId="62F2EE1D" w14:textId="77777777" w:rsidR="006F2AB4" w:rsidRDefault="002C6E1D">
            <w:pPr>
              <w:spacing w:before="60" w:after="60"/>
            </w:pPr>
            <w:r>
              <w:rPr>
                <w:color w:val="1A1A1A"/>
                <w:sz w:val="18"/>
                <w:szCs w:val="18"/>
              </w:rPr>
              <w:t>Stéphane Bancel</w:t>
            </w:r>
          </w:p>
        </w:tc>
        <w:tc>
          <w:tcPr>
            <w:tcW w:w="220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50" w:type="dxa"/>
              <w:bottom w:w="100" w:type="dxa"/>
              <w:right w:w="150" w:type="dxa"/>
            </w:tcMar>
          </w:tcPr>
          <w:p w14:paraId="1CA5CA8B" w14:textId="77777777" w:rsidR="006F2AB4" w:rsidRDefault="002C6E1D">
            <w:pPr>
              <w:spacing w:before="60" w:after="60"/>
            </w:pPr>
            <w:r>
              <w:rPr>
                <w:color w:val="1A1A1A"/>
                <w:sz w:val="18"/>
                <w:szCs w:val="18"/>
              </w:rPr>
              <w:t>CEO von Moderna</w:t>
            </w:r>
          </w:p>
        </w:tc>
        <w:tc>
          <w:tcPr>
            <w:tcW w:w="388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50" w:type="dxa"/>
              <w:bottom w:w="100" w:type="dxa"/>
              <w:right w:w="150" w:type="dxa"/>
            </w:tcMar>
          </w:tcPr>
          <w:p w14:paraId="1F580194" w14:textId="77777777" w:rsidR="006F2AB4" w:rsidRDefault="002C6E1D">
            <w:pPr>
              <w:spacing w:before="60" w:after="60"/>
            </w:pPr>
            <w:r>
              <w:rPr>
                <w:color w:val="1A1A1A"/>
                <w:sz w:val="18"/>
                <w:szCs w:val="18"/>
              </w:rPr>
              <w:t>Unterzeichnete die für 27 Mitgliedstaaten verbindliche APA mit Moderna</w:t>
            </w:r>
          </w:p>
        </w:tc>
        <w:tc>
          <w:tcPr>
            <w:tcW w:w="180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50" w:type="dxa"/>
              <w:bottom w:w="100" w:type="dxa"/>
              <w:right w:w="150" w:type="dxa"/>
            </w:tcMar>
          </w:tcPr>
          <w:p w14:paraId="0E413E65" w14:textId="77777777" w:rsidR="006F2AB4" w:rsidRDefault="002C6E1D">
            <w:pPr>
              <w:spacing w:before="60" w:after="60"/>
            </w:pPr>
            <w:r>
              <w:rPr>
                <w:color w:val="1A1A1A"/>
                <w:sz w:val="18"/>
                <w:szCs w:val="18"/>
              </w:rPr>
              <w:t>Keine Untersuchung</w:t>
            </w:r>
          </w:p>
        </w:tc>
      </w:tr>
    </w:tbl>
    <w:p w14:paraId="34D10556" w14:textId="77777777" w:rsidR="006F2AB4" w:rsidRDefault="006F2AB4">
      <w:pPr>
        <w:spacing w:after="120"/>
      </w:pPr>
    </w:p>
    <w:p w14:paraId="51C6834A" w14:textId="77777777" w:rsidR="006F2AB4" w:rsidRDefault="002C6E1D">
      <w:pPr>
        <w:pStyle w:val="berschrift1"/>
        <w:pBdr>
          <w:bottom w:val="single" w:sz="8" w:space="4" w:color="1A1A2E"/>
        </w:pBdr>
      </w:pPr>
      <w:r>
        <w:t>4. Das Netzwerk – Zirkulation der Elite und institutionelle Vereinnahmung</w:t>
      </w:r>
    </w:p>
    <w:p w14:paraId="47A79FEC" w14:textId="77777777" w:rsidR="006F2AB4" w:rsidRDefault="002C6E1D">
      <w:pPr>
        <w:spacing w:before="60" w:after="60" w:line="288" w:lineRule="auto"/>
        <w:jc w:val="both"/>
      </w:pPr>
      <w:r>
        <w:rPr>
          <w:color w:val="1A1A1A"/>
        </w:rPr>
        <w:t>Die oben aufgeführten Personen sind nicht aus dem Nichts aufgetaucht. Sie sind Teil eines ineinandergreifenden Netzwerks aus Bildungs-, beruflichen und institutionellen Beziehungen, das sowohl die Entscheidungsträger als auch die Gründe dafür prägte, warum diese Entscheidungen genau diesem Muster folgten. Dieser Abschnitt präsentiert dokumentierte Fakten. Es werden keine über die Beweislage hinausgehenden Verschwörungstheorien aufgestellt.</w:t>
      </w:r>
    </w:p>
    <w:p w14:paraId="04AF0C1C" w14:textId="77777777" w:rsidR="006F2AB4" w:rsidRDefault="002C6E1D">
      <w:pPr>
        <w:pStyle w:val="berschrift2"/>
      </w:pPr>
      <w:r>
        <w:t>4.1 Gemeinsame Bildungseinrichtungen</w:t>
      </w:r>
    </w:p>
    <w:p w14:paraId="4A704CD0" w14:textId="77777777" w:rsidR="006F2AB4" w:rsidRDefault="002C6E1D">
      <w:pPr>
        <w:spacing w:before="60" w:after="60" w:line="288" w:lineRule="auto"/>
        <w:jc w:val="both"/>
      </w:pPr>
      <w:r>
        <w:rPr>
          <w:color w:val="1A1A1A"/>
        </w:rPr>
        <w:t>Von der Leyen besuchte die Europäische Schule in Brüssel – die Einrichtung, die für die Kinder von EU-Beamten gegründet wurde. Macron besuchte Sciences Po und die École Nationale d’Administration (ENA) – die französische „Grand École“, die seit Jahrzehnten praktisch jeden hochrangigen französischen Beamten und viele europäische Amtsträger hervorgebracht hat. Beide Institutionen fungieren als Kanäle für die Reproduktion der Elite: dieselben Schulen, dieselben Netzwerke, dieselben Karrieren.</w:t>
      </w:r>
    </w:p>
    <w:p w14:paraId="513F9BB5" w14:textId="77777777" w:rsidR="006F2AB4" w:rsidRDefault="002C6E1D">
      <w:pPr>
        <w:pStyle w:val="berschrift2"/>
      </w:pPr>
      <w:r>
        <w:t>4.2 Macron – Rothschild – Pfizer: Die dokumentierte Kette</w:t>
      </w:r>
    </w:p>
    <w:p w14:paraId="104547EC" w14:textId="77777777" w:rsidR="006F2AB4" w:rsidRDefault="002C6E1D">
      <w:pPr>
        <w:spacing w:before="60" w:after="60" w:line="288" w:lineRule="auto"/>
        <w:jc w:val="both"/>
      </w:pPr>
      <w:r>
        <w:rPr>
          <w:color w:val="1A1A1A"/>
        </w:rPr>
        <w:t>Jedes Glied der folgenden Kette ist einzeln dokumentiert und unbestritten. Die Kette, die sie bilden, ist eine Tatsache und keine Vermutung:</w:t>
      </w:r>
    </w:p>
    <w:p w14:paraId="4CE4E20E" w14:textId="77777777" w:rsidR="006F2AB4" w:rsidRDefault="002C6E1D">
      <w:pPr>
        <w:pStyle w:val="Listenabsatz"/>
        <w:numPr>
          <w:ilvl w:val="0"/>
          <w:numId w:val="2"/>
        </w:numPr>
        <w:spacing w:before="60" w:after="60"/>
      </w:pPr>
      <w:r>
        <w:rPr>
          <w:color w:val="1A1A1A"/>
        </w:rPr>
        <w:t>Macron arbeitete bei der Rothschild &amp; Cie Banque (2008–2012), verdiente dort etwa 3 Millionen Euro und stieg innerhalb von zwei Jahren zum Geschäftsführer auf</w:t>
      </w:r>
    </w:p>
    <w:p w14:paraId="03C10B35" w14:textId="77777777" w:rsidR="006F2AB4" w:rsidRDefault="002C6E1D">
      <w:pPr>
        <w:pStyle w:val="Listenabsatz"/>
        <w:numPr>
          <w:ilvl w:val="0"/>
          <w:numId w:val="2"/>
        </w:numPr>
        <w:spacing w:before="60" w:after="60"/>
      </w:pPr>
      <w:r>
        <w:rPr>
          <w:color w:val="1A1A1A"/>
        </w:rPr>
        <w:t>Sein erstes großes Geschäft war die Vermittlung der 11,8-Milliarden-Dollar-Übernahme der Babynahrungssparte von Pfizer durch Nestlé – seine erste dokumentierte berufliche Verbindung zu Pfizer</w:t>
      </w:r>
    </w:p>
    <w:p w14:paraId="1FD794BF" w14:textId="77777777" w:rsidR="006F2AB4" w:rsidRDefault="002C6E1D">
      <w:pPr>
        <w:pStyle w:val="Listenabsatz"/>
        <w:numPr>
          <w:ilvl w:val="0"/>
          <w:numId w:val="2"/>
        </w:numPr>
        <w:spacing w:before="60" w:after="60"/>
      </w:pPr>
      <w:r>
        <w:rPr>
          <w:color w:val="1A1A1A"/>
        </w:rPr>
        <w:t>Die „Financial Times“ bezeichnete ihn 2018 als Protegé von David de Rothschild; Rothschild beschrieb seinen Aufstieg zum Präsidenten als „eine glückliche Fügung“</w:t>
      </w:r>
    </w:p>
    <w:p w14:paraId="2C722879" w14:textId="77777777" w:rsidR="006F2AB4" w:rsidRDefault="002C6E1D">
      <w:pPr>
        <w:pStyle w:val="Listenabsatz"/>
        <w:numPr>
          <w:ilvl w:val="0"/>
          <w:numId w:val="2"/>
        </w:numPr>
        <w:spacing w:before="60" w:after="60"/>
      </w:pPr>
      <w:r>
        <w:rPr>
          <w:color w:val="1A1A1A"/>
        </w:rPr>
        <w:t>Macron setzte 2019 Von der Leyen als Kommissionspräsidentin ein</w:t>
      </w:r>
    </w:p>
    <w:p w14:paraId="32876F91" w14:textId="77777777" w:rsidR="006F2AB4" w:rsidRDefault="002C6E1D">
      <w:pPr>
        <w:pStyle w:val="Listenabsatz"/>
        <w:numPr>
          <w:ilvl w:val="0"/>
          <w:numId w:val="2"/>
        </w:numPr>
        <w:spacing w:before="60" w:after="60"/>
      </w:pPr>
      <w:r>
        <w:rPr>
          <w:color w:val="1A1A1A"/>
        </w:rPr>
        <w:t>Von der Leyen handelte 2021 den 35-Milliarden-Euro-Vertrag der EU über den Pfizer-Impfstoff per privater SMS aus</w:t>
      </w:r>
    </w:p>
    <w:p w14:paraId="10CFDDB4" w14:textId="77777777" w:rsidR="006F2AB4" w:rsidRDefault="002C6E1D">
      <w:pPr>
        <w:pStyle w:val="Listenabsatz"/>
        <w:numPr>
          <w:ilvl w:val="0"/>
          <w:numId w:val="2"/>
        </w:numPr>
        <w:spacing w:before="60" w:after="60"/>
      </w:pPr>
      <w:r>
        <w:rPr>
          <w:color w:val="1A1A1A"/>
        </w:rPr>
        <w:t>Macron gehörte zu den aggressivsten europäischen Staats- und Regierungschefs, die sich für Beschränkungen beim Zugang zu Impfstoffen einsetzten</w:t>
      </w:r>
    </w:p>
    <w:p w14:paraId="1178F592" w14:textId="77777777" w:rsidR="006F2AB4" w:rsidRDefault="002C6E1D">
      <w:pPr>
        <w:pStyle w:val="Listenabsatz"/>
        <w:numPr>
          <w:ilvl w:val="0"/>
          <w:numId w:val="2"/>
        </w:numPr>
        <w:spacing w:before="60" w:after="60"/>
      </w:pPr>
      <w:r>
        <w:rPr>
          <w:color w:val="1A1A1A"/>
        </w:rPr>
        <w:t>Merkel – von der Leyens politische Förderin seit 14 Jahren – blockierte das gesamte Jahr 2021 über die TRIPS-Ausnahmeregelung, die Pfizers Monopol auf geistiges Eigentum schützte</w:t>
      </w:r>
    </w:p>
    <w:p w14:paraId="687197D6" w14:textId="77777777" w:rsidR="006F2AB4" w:rsidRDefault="002C6E1D">
      <w:pPr>
        <w:pStyle w:val="berschrift2"/>
      </w:pPr>
      <w:r>
        <w:t>4.3 Rothschild &amp; Co: Selbst veröffentlichte Belege für die Nähe zu Pfizer</w:t>
      </w:r>
    </w:p>
    <w:p w14:paraId="68DAD69D" w14:textId="77777777" w:rsidR="006F2AB4" w:rsidRDefault="002C6E1D">
      <w:pPr>
        <w:spacing w:before="60" w:after="60" w:line="288" w:lineRule="auto"/>
        <w:jc w:val="both"/>
      </w:pPr>
      <w:r>
        <w:rPr>
          <w:color w:val="1A1A1A"/>
        </w:rPr>
        <w:t>Von besonderer Bedeutung ist, was Rothschild &amp; Co auf der eigenen Website veröffentlichte. Im April 2021 – auf dem Höhepunkt der EU-Impfstoffbeschaffung – veröffentlichte Rothschild &amp; Co Wealth Management ein Investoreninterview mit Bryans Dunn, dem Investor-Relations-Beauftragten von Pfizer, das von dem hauseigenen Aktienanalysten- und Investment-Insights-Team geführt wurde.</w:t>
      </w:r>
    </w:p>
    <w:p w14:paraId="2E683820" w14:textId="77777777" w:rsidR="006F2AB4" w:rsidRDefault="002C6E1D">
      <w:pPr>
        <w:spacing w:before="60" w:after="60" w:line="288" w:lineRule="auto"/>
        <w:jc w:val="both"/>
      </w:pPr>
      <w:r>
        <w:rPr>
          <w:color w:val="1A1A1A"/>
        </w:rPr>
        <w:lastRenderedPageBreak/>
        <w:t>Hier handelt es sich nicht um einen Journalisten, der die Verbindung von außen beobachtet. Es ist Rothschild &amp; Co, das seine eigene Anlegerbeziehung zu Pfizer offen dokumentiert und als routinemäßigen Vermögensverwaltungsinhalt auf der eigenen Plattform veröffentlicht – und zwar genau in dem Zeitraum, in dem der 35-Milliarden-Euro-Vertrag der EU ausgeführt wurde.</w:t>
      </w:r>
    </w:p>
    <w:p w14:paraId="6F3DFD76" w14:textId="77777777" w:rsidR="006F2AB4" w:rsidRDefault="002C6E1D">
      <w:pPr>
        <w:spacing w:before="60" w:after="60" w:line="288" w:lineRule="auto"/>
        <w:jc w:val="both"/>
      </w:pPr>
      <w:r>
        <w:rPr>
          <w:color w:val="1A1A1A"/>
        </w:rPr>
        <w:t>Die Bedeutung: Die Institution, deren Schützling den Kommissionspräsidenten ins Amt brachte, der den Pfizer-Vertrag per privater SMS aushandelte, veröffentlichte gleichzeitig bewundernde Investoreninterviews mit eben diesem Unternehmen und stellte die Beziehung als völlig unauffällig dar. Das ist Selbstbewusstsein, keine Verschleierung – das Verhalten eines Netzwerks, das seine Position nicht als problematisch ansieht, weil das System, das sie als problematisch einstufen würde, dasselbe System ist, in dem e</w:t>
      </w:r>
      <w:r>
        <w:rPr>
          <w:color w:val="1A1A1A"/>
        </w:rPr>
        <w:t>s agiert.</w:t>
      </w:r>
    </w:p>
    <w:p w14:paraId="38318FE7" w14:textId="77777777" w:rsidR="006F2AB4" w:rsidRDefault="002C6E1D">
      <w:pPr>
        <w:spacing w:before="40" w:after="100"/>
        <w:ind w:left="360"/>
      </w:pPr>
      <w:r>
        <w:rPr>
          <w:i/>
          <w:iCs/>
          <w:color w:val="555555"/>
          <w:sz w:val="17"/>
          <w:szCs w:val="17"/>
        </w:rPr>
        <w:t xml:space="preserve">Quelle: </w:t>
      </w:r>
      <w:hyperlink r:id="rId15" w:history="1">
        <w:r>
          <w:rPr>
            <w:color w:val="1155CC"/>
            <w:sz w:val="18"/>
            <w:szCs w:val="18"/>
            <w:u w:val="single"/>
          </w:rPr>
          <w:t>Rothschild &amp; Co Wealth Management, „Investment Views – Impfstoffe und Diagnostika: Ein Interview mit Pfizer“, April 2021</w:t>
        </w:r>
      </w:hyperlink>
    </w:p>
    <w:p w14:paraId="606A6A75" w14:textId="77777777" w:rsidR="006F2AB4" w:rsidRDefault="002C6E1D">
      <w:pPr>
        <w:pStyle w:val="berschrift2"/>
      </w:pPr>
      <w:r>
        <w:t>4.4 Die Zeremonie des Atlantic Council – 10. November 2021</w:t>
      </w:r>
    </w:p>
    <w:p w14:paraId="6D82E6AA" w14:textId="77777777" w:rsidR="006F2AB4" w:rsidRDefault="002C6E1D">
      <w:pPr>
        <w:spacing w:before="60" w:after="60" w:line="288" w:lineRule="auto"/>
        <w:jc w:val="both"/>
      </w:pPr>
      <w:r>
        <w:rPr>
          <w:color w:val="1A1A1A"/>
        </w:rPr>
        <w:t>Am 10. November 2021 veranstaltete der Atlantic Council – ein in Washington ansässiger Think Tank, der von großen Rüstungsunternehmen, Banken und Konzernen finanziert wird – in Washington, D.C., seine jährliche Verleihung der „Distinguished Leadership Awards“:</w:t>
      </w:r>
    </w:p>
    <w:p w14:paraId="51D7F1A1" w14:textId="77777777" w:rsidR="006F2AB4" w:rsidRDefault="002C6E1D">
      <w:pPr>
        <w:pStyle w:val="Listenabsatz"/>
        <w:numPr>
          <w:ilvl w:val="0"/>
          <w:numId w:val="2"/>
        </w:numPr>
        <w:spacing w:before="60" w:after="60"/>
      </w:pPr>
      <w:r>
        <w:rPr>
          <w:color w:val="1A1A1A"/>
        </w:rPr>
        <w:t>Ursula von der Leyen erhielt den „Distinguished International Leadership Award“</w:t>
      </w:r>
    </w:p>
    <w:p w14:paraId="645DA0A7" w14:textId="77777777" w:rsidR="006F2AB4" w:rsidRDefault="002C6E1D">
      <w:pPr>
        <w:pStyle w:val="Listenabsatz"/>
        <w:numPr>
          <w:ilvl w:val="0"/>
          <w:numId w:val="2"/>
        </w:numPr>
        <w:spacing w:before="60" w:after="60"/>
      </w:pPr>
      <w:r>
        <w:rPr>
          <w:color w:val="1A1A1A"/>
        </w:rPr>
        <w:t>Albert Bourla erhielt den „Distinguished Business Leadership Award“</w:t>
      </w:r>
    </w:p>
    <w:p w14:paraId="76E90779" w14:textId="77777777" w:rsidR="006F2AB4" w:rsidRDefault="002C6E1D">
      <w:pPr>
        <w:pStyle w:val="Listenabsatz"/>
        <w:numPr>
          <w:ilvl w:val="0"/>
          <w:numId w:val="2"/>
        </w:numPr>
        <w:spacing w:before="60" w:after="60"/>
      </w:pPr>
      <w:r>
        <w:rPr>
          <w:color w:val="1A1A1A"/>
        </w:rPr>
        <w:t>Von der Leyen überreichte Bourla die Auszeichnung persönlich, lobte ihn als „lieben Albert“, würdigte ihn dafür, „Millionen von Menschenleben gerettet“ zu haben, und sagte: „Wir haben einander vertraut“</w:t>
      </w:r>
    </w:p>
    <w:p w14:paraId="64D0A0DF" w14:textId="77777777" w:rsidR="006F2AB4" w:rsidRDefault="002C6E1D">
      <w:pPr>
        <w:pStyle w:val="Listenabsatz"/>
        <w:numPr>
          <w:ilvl w:val="0"/>
          <w:numId w:val="2"/>
        </w:numPr>
        <w:spacing w:before="60" w:after="60"/>
      </w:pPr>
      <w:r>
        <w:rPr>
          <w:color w:val="1A1A1A"/>
        </w:rPr>
        <w:t>Bourla sagte, er sei angesichts „Ursulas freundlicher Worte“ „sprachlos“ gewesen und habe „fast geweint“</w:t>
      </w:r>
    </w:p>
    <w:p w14:paraId="32B864DA" w14:textId="77777777" w:rsidR="006F2AB4" w:rsidRDefault="002C6E1D">
      <w:pPr>
        <w:pStyle w:val="Listenabsatz"/>
        <w:numPr>
          <w:ilvl w:val="0"/>
          <w:numId w:val="2"/>
        </w:numPr>
        <w:spacing w:before="60" w:after="60"/>
      </w:pPr>
      <w:r>
        <w:rPr>
          <w:color w:val="1A1A1A"/>
        </w:rPr>
        <w:t>Die EU-Kommission hatte zu diesem Zeitpunkt bereits drei Verträge mit Pfizer im Wert von rund 35 Milliarden Euro unterzeichnet</w:t>
      </w:r>
    </w:p>
    <w:p w14:paraId="6701D0DD" w14:textId="77777777" w:rsidR="006F2AB4" w:rsidRDefault="002C6E1D">
      <w:pPr>
        <w:pStyle w:val="Listenabsatz"/>
        <w:numPr>
          <w:ilvl w:val="0"/>
          <w:numId w:val="2"/>
        </w:numPr>
        <w:spacing w:before="60" w:after="60"/>
      </w:pPr>
      <w:r>
        <w:rPr>
          <w:color w:val="1A1A1A"/>
        </w:rPr>
        <w:t>Die Ermittlungen der Europäischen Staatsanwaltschaft (EPPO) zur Impfstoffbeschaffung waren zu diesem Zeitpunkt noch im Gange</w:t>
      </w:r>
    </w:p>
    <w:p w14:paraId="4BB6AE0A" w14:textId="77777777" w:rsidR="006F2AB4" w:rsidRDefault="002C6E1D">
      <w:pPr>
        <w:pStyle w:val="Listenabsatz"/>
        <w:numPr>
          <w:ilvl w:val="0"/>
          <w:numId w:val="2"/>
        </w:numPr>
        <w:spacing w:before="60" w:after="60"/>
      </w:pPr>
      <w:r>
        <w:rPr>
          <w:color w:val="1A1A1A"/>
        </w:rPr>
        <w:t>Die SMS-Nachrichten zwischen von der Leyen und Bourla waren von der „New York Times“ noch nicht angefordert worden – dies geschah erst im Mai 2022</w:t>
      </w:r>
    </w:p>
    <w:p w14:paraId="3A3F83DC" w14:textId="77777777" w:rsidR="006F2AB4" w:rsidRDefault="002C6E1D">
      <w:pPr>
        <w:spacing w:before="40" w:after="100"/>
        <w:ind w:left="360"/>
      </w:pPr>
      <w:hyperlink r:id="rId16" w:history="1">
        <w:r>
          <w:rPr>
            <w:color w:val="1155CC"/>
            <w:sz w:val="18"/>
            <w:szCs w:val="18"/>
            <w:u w:val="single"/>
          </w:rPr>
          <w:t>Quelle: WorldNews, 17. November 2021 („Ursula von der Leyen vom Atlantic Council geehrt – gemeinsam mit Pfizer“)</w:t>
        </w:r>
      </w:hyperlink>
    </w:p>
    <w:p w14:paraId="31B25AAD" w14:textId="77777777" w:rsidR="006F2AB4" w:rsidRDefault="002C6E1D">
      <w:pPr>
        <w:pStyle w:val="berschrift2"/>
      </w:pPr>
      <w:r>
        <w:t>4.5 Die Beziehung zwischen Merkel und Von der Leyen: Vollständige Dokumentation</w:t>
      </w:r>
    </w:p>
    <w:p w14:paraId="224D6AD4" w14:textId="77777777" w:rsidR="006F2AB4" w:rsidRDefault="002C6E1D">
      <w:pPr>
        <w:spacing w:before="60" w:after="60" w:line="288" w:lineRule="auto"/>
        <w:jc w:val="both"/>
      </w:pPr>
      <w:r>
        <w:rPr>
          <w:color w:val="1A1A1A"/>
        </w:rPr>
        <w:t>Die Beziehung zwischen Merkel und Von der Leyen ist die längste und strukturell bedeutendste in diesem Netzwerk. Wichtige dokumentierte Fakten:</w:t>
      </w:r>
    </w:p>
    <w:p w14:paraId="0F08018A" w14:textId="77777777" w:rsidR="006F2AB4" w:rsidRDefault="002C6E1D">
      <w:pPr>
        <w:pStyle w:val="Listenabsatz"/>
        <w:numPr>
          <w:ilvl w:val="0"/>
          <w:numId w:val="2"/>
        </w:numPr>
        <w:spacing w:before="60" w:after="60"/>
      </w:pPr>
      <w:r>
        <w:rPr>
          <w:color w:val="1A1A1A"/>
        </w:rPr>
        <w:t>Von der Leyen war die einzige Ministerin, die von 2005 bis 2019 ununterbrochen in Merkels Kabinett tätig war – über alle vier Regierungen und jede Kabinettsumbildung hinweg</w:t>
      </w:r>
    </w:p>
    <w:p w14:paraId="412FB94A" w14:textId="77777777" w:rsidR="006F2AB4" w:rsidRDefault="002C6E1D">
      <w:pPr>
        <w:pStyle w:val="Listenabsatz"/>
        <w:numPr>
          <w:ilvl w:val="0"/>
          <w:numId w:val="2"/>
        </w:numPr>
        <w:spacing w:before="60" w:after="60"/>
      </w:pPr>
      <w:r>
        <w:rPr>
          <w:color w:val="1A1A1A"/>
        </w:rPr>
        <w:t>Im Jahr 2003 wurde von der Leyen von Merkel damit beauftragt, alternative Vorschläge zur Sozialreform auszuarbeiten, als Merkel noch Oppositionsvorsitzende der CDU war – dies war der Beginn ihrer politischen Zusammenarbeit</w:t>
      </w:r>
    </w:p>
    <w:p w14:paraId="5EE42186" w14:textId="77777777" w:rsidR="006F2AB4" w:rsidRDefault="002C6E1D">
      <w:pPr>
        <w:pStyle w:val="Listenabsatz"/>
        <w:numPr>
          <w:ilvl w:val="0"/>
          <w:numId w:val="2"/>
        </w:numPr>
        <w:spacing w:before="60" w:after="60"/>
      </w:pPr>
      <w:r>
        <w:rPr>
          <w:color w:val="1A1A1A"/>
        </w:rPr>
        <w:t>Von der Leyen half Merkel dabei, die CDU in die politische Mitte zu rücken – sie war Merkels ideologisches Instrument zur Modernisierung der Partei</w:t>
      </w:r>
    </w:p>
    <w:p w14:paraId="70E7031E" w14:textId="77777777" w:rsidR="006F2AB4" w:rsidRDefault="002C6E1D">
      <w:pPr>
        <w:pStyle w:val="Listenabsatz"/>
        <w:numPr>
          <w:ilvl w:val="0"/>
          <w:numId w:val="2"/>
        </w:numPr>
        <w:spacing w:before="60" w:after="60"/>
      </w:pPr>
      <w:r>
        <w:rPr>
          <w:color w:val="1A1A1A"/>
        </w:rPr>
        <w:t>Als Bischof Mixa von der Leyens Kinderbetreuungspolitik öffentlich attackierte, sprang Merkel persönlich zu ihrer Verteidigung ein</w:t>
      </w:r>
    </w:p>
    <w:p w14:paraId="696F9640" w14:textId="77777777" w:rsidR="006F2AB4" w:rsidRDefault="002C6E1D">
      <w:pPr>
        <w:pStyle w:val="Listenabsatz"/>
        <w:numPr>
          <w:ilvl w:val="0"/>
          <w:numId w:val="2"/>
        </w:numPr>
        <w:spacing w:before="60" w:after="60"/>
      </w:pPr>
      <w:r>
        <w:rPr>
          <w:color w:val="1A1A1A"/>
        </w:rPr>
        <w:t>Ihre Wiederernennung zur Verteidigungsministerin im Jahr 2018 trotz anhaltender Skandale wurde vom „Tagesspiegel“ als eindeutiger Beweis für „das Vertrauen der Kanzlerin“ gewertet – „sie war die Einzige, die als hart genug galt“</w:t>
      </w:r>
    </w:p>
    <w:p w14:paraId="78E3F4EE" w14:textId="77777777" w:rsidR="006F2AB4" w:rsidRDefault="002C6E1D">
      <w:pPr>
        <w:pStyle w:val="Listenabsatz"/>
        <w:numPr>
          <w:ilvl w:val="0"/>
          <w:numId w:val="2"/>
        </w:numPr>
        <w:spacing w:before="60" w:after="60"/>
      </w:pPr>
      <w:r>
        <w:rPr>
          <w:color w:val="1A1A1A"/>
        </w:rPr>
        <w:t>Sie wird in zahlreichen Quellen als Merkels „treue Vertraute“ beschrieben und galt lange Zeit als Merkels wahrscheinlichste Nachfolgerin</w:t>
      </w:r>
    </w:p>
    <w:p w14:paraId="5C384CF0" w14:textId="77777777" w:rsidR="006F2AB4" w:rsidRDefault="002C6E1D">
      <w:pPr>
        <w:pStyle w:val="Listenabsatz"/>
        <w:numPr>
          <w:ilvl w:val="0"/>
          <w:numId w:val="2"/>
        </w:numPr>
        <w:spacing w:before="60" w:after="60"/>
      </w:pPr>
      <w:r>
        <w:rPr>
          <w:color w:val="1A1A1A"/>
        </w:rPr>
        <w:t>Als es 2019 im Europäischen Rat zu einer Pattsituation kam, wurde Von der Leyen als „eine Option, die Merkel nicht ablehnen konnte“ beschrieben – dasselbe Land, dieselbe Partei, persönliche Vertraute</w:t>
      </w:r>
    </w:p>
    <w:p w14:paraId="76EC8467" w14:textId="77777777" w:rsidR="006F2AB4" w:rsidRDefault="002C6E1D">
      <w:pPr>
        <w:pStyle w:val="Listenabsatz"/>
        <w:numPr>
          <w:ilvl w:val="0"/>
          <w:numId w:val="2"/>
        </w:numPr>
        <w:spacing w:before="60" w:after="60"/>
      </w:pPr>
      <w:r>
        <w:rPr>
          <w:color w:val="1A1A1A"/>
        </w:rPr>
        <w:t>Merkel enthielt sich bei der Abstimmung im Parlament der Stimme – Koalitionspolitik –, doch Von der Leyen wurde mit neun Stimmen bestätigt.</w:t>
      </w:r>
    </w:p>
    <w:p w14:paraId="6AA04EDD" w14:textId="77777777" w:rsidR="006F2AB4" w:rsidRDefault="002C6E1D">
      <w:pPr>
        <w:spacing w:before="60" w:after="60" w:line="288" w:lineRule="auto"/>
        <w:jc w:val="both"/>
      </w:pPr>
      <w:r>
        <w:rPr>
          <w:color w:val="1A1A1A"/>
        </w:rPr>
        <w:lastRenderedPageBreak/>
        <w:t>Die Rettungsdynamik: Als von der Leyens Karriere im Verteidigungsministerium aufgrund von Beschaffungsskandalen und einer Plagiatsuntersuchung im Zusammenhang mit ihrer Doktorarbeit ins Stocken geriet, entließ Merkel sie nicht. Sie blieb im Kabinett, bis Macrons Manöver sie nach Brüssel beförderte – wodurch sie faktisch vollständig der Rechenschaftspflicht gegenüber der deutschen Öffentlichkeit entzogen wurde.</w:t>
      </w:r>
    </w:p>
    <w:p w14:paraId="22FE6069" w14:textId="77777777" w:rsidR="006F2AB4" w:rsidRDefault="002C6E1D">
      <w:pPr>
        <w:spacing w:before="40" w:after="100"/>
        <w:ind w:left="360"/>
      </w:pPr>
      <w:hyperlink r:id="rId17" w:history="1">
        <w:r>
          <w:rPr>
            <w:color w:val="1155CC"/>
            <w:sz w:val="18"/>
            <w:szCs w:val="18"/>
            <w:u w:val="single"/>
          </w:rPr>
          <w:t>France 24, 1. Dezember 2019</w:t>
        </w:r>
      </w:hyperlink>
      <w:r>
        <w:rPr>
          <w:i/>
          <w:iCs/>
          <w:color w:val="555555"/>
          <w:sz w:val="17"/>
          <w:szCs w:val="17"/>
        </w:rPr>
        <w:t xml:space="preserve">; </w:t>
      </w:r>
      <w:hyperlink r:id="rId18" w:history="1">
        <w:r>
          <w:rPr>
            <w:color w:val="1155CC"/>
            <w:sz w:val="18"/>
            <w:szCs w:val="18"/>
            <w:u w:val="single"/>
          </w:rPr>
          <w:t>Foreign Policy, 30. April 2021</w:t>
        </w:r>
      </w:hyperlink>
      <w:r>
        <w:rPr>
          <w:i/>
          <w:iCs/>
          <w:color w:val="555555"/>
          <w:sz w:val="17"/>
          <w:szCs w:val="17"/>
        </w:rPr>
        <w:t xml:space="preserve">; Wikipedia – Ursula von der Leyen; </w:t>
      </w:r>
      <w:hyperlink r:id="rId19" w:history="1">
        <w:r>
          <w:rPr>
            <w:color w:val="1155CC"/>
            <w:sz w:val="18"/>
            <w:szCs w:val="18"/>
            <w:u w:val="single"/>
          </w:rPr>
          <w:t>CDU-Geschichte – Biografie</w:t>
        </w:r>
      </w:hyperlink>
      <w:r>
        <w:rPr>
          <w:i/>
          <w:iCs/>
          <w:color w:val="555555"/>
          <w:sz w:val="17"/>
          <w:szCs w:val="17"/>
        </w:rPr>
        <w:t>; Tagesspiegel, 10. März 2018</w:t>
      </w:r>
    </w:p>
    <w:p w14:paraId="13C553BF" w14:textId="77777777" w:rsidR="006F2AB4" w:rsidRDefault="002C6E1D">
      <w:pPr>
        <w:pStyle w:val="berschrift2"/>
      </w:pPr>
      <w:r>
        <w:t>4.6 Die familiäre Dimension der Familie von der Leyen</w:t>
      </w:r>
    </w:p>
    <w:p w14:paraId="142A7153" w14:textId="77777777" w:rsidR="006F2AB4" w:rsidRDefault="002C6E1D">
      <w:pPr>
        <w:spacing w:before="60" w:after="60" w:line="288" w:lineRule="auto"/>
        <w:jc w:val="both"/>
      </w:pPr>
      <w:r>
        <w:rPr>
          <w:color w:val="1A1A1A"/>
        </w:rPr>
        <w:t>Von der Leyens Ehemann Heiko wurde im September 2020 medizinischer Direktor von Orgenesis – einem amerikanischen biopharmazeutischen Unternehmen, das in der Entwicklung von COVID-19-Impfstoffen tätig ist –, genau in dem Monat, in dem die EU-Strategie zur Impfstoffbeschaffung fertiggestellt wurde. Orgenesis erhielt in der Folge EU-Fördermittel. Von der Leyen hat dies im Zusammenhang mit ihrer Rolle bei der Beschaffung nicht öffentlich offengelegt. Europaabgeordnete, die das Thema zur Sprache brachten, erhiel</w:t>
      </w:r>
      <w:r>
        <w:rPr>
          <w:color w:val="1A1A1A"/>
        </w:rPr>
        <w:t>ten keine substanzielle Antwort.</w:t>
      </w:r>
    </w:p>
    <w:p w14:paraId="3B4A33B3" w14:textId="77777777" w:rsidR="006F2AB4" w:rsidRDefault="002C6E1D">
      <w:pPr>
        <w:spacing w:before="60" w:after="60" w:line="288" w:lineRule="auto"/>
        <w:jc w:val="both"/>
      </w:pPr>
      <w:r>
        <w:rPr>
          <w:color w:val="1A1A1A"/>
        </w:rPr>
        <w:t>Unabhängig davon gab es während ihrer früheren Amtszeit im Verteidigungsministerium dokumentierte Beschaffungsskandale im Zusammenhang mit Beraterverträgen. Das Muster, Großaufträge über informelle Kanäle zu vergeben und gleichzeitig die entsprechenden Unterlagen zu vernichten oder zu verlieren, reicht bis in die Zeit vor ihrer Tätigkeit in der Kommission zurück.</w:t>
      </w:r>
    </w:p>
    <w:p w14:paraId="28AE3CDC" w14:textId="77777777" w:rsidR="006F2AB4" w:rsidRDefault="002C6E1D">
      <w:pPr>
        <w:pStyle w:val="berschrift2"/>
      </w:pPr>
      <w:r>
        <w:t>4.7 Die zweiachsige Netzwerkstruktur</w:t>
      </w:r>
    </w:p>
    <w:p w14:paraId="3F618DCD" w14:textId="77777777" w:rsidR="006F2AB4" w:rsidRDefault="002C6E1D">
      <w:pPr>
        <w:spacing w:before="60" w:after="60" w:line="288" w:lineRule="auto"/>
        <w:jc w:val="both"/>
      </w:pPr>
      <w:r>
        <w:rPr>
          <w:color w:val="1A1A1A"/>
        </w:rPr>
        <w:t>Das dokumentierte Netzwerk weist zwei Achsen auf, die bei Von der Leyen zusammenlaufen:</w:t>
      </w:r>
    </w:p>
    <w:p w14:paraId="1C89CF10" w14:textId="77777777" w:rsidR="006F2AB4" w:rsidRDefault="002C6E1D">
      <w:pPr>
        <w:pStyle w:val="Listenabsatz"/>
        <w:numPr>
          <w:ilvl w:val="0"/>
          <w:numId w:val="2"/>
        </w:numPr>
        <w:spacing w:before="60" w:after="60"/>
      </w:pPr>
      <w:r>
        <w:rPr>
          <w:color w:val="1A1A1A"/>
        </w:rPr>
        <w:t>Achse 1 – Rothschild/Macron: Rothschild &amp; Cie → Macron (Schützling, Pfizer-Deal 2012) → Macron setzt von der Leyen ein (2019) → von der Leyen handelt einen 35-Milliarden-Euro-Vertrag mit Pfizer aus (2021). Gleichzeitig: Rothschild &amp; Co veröffentlicht ein Investoreninterview mit Pfizer (April 2021).</w:t>
      </w:r>
    </w:p>
    <w:p w14:paraId="6DD94744" w14:textId="77777777" w:rsidR="006F2AB4" w:rsidRDefault="002C6E1D">
      <w:pPr>
        <w:pStyle w:val="Listenabsatz"/>
        <w:numPr>
          <w:ilvl w:val="0"/>
          <w:numId w:val="2"/>
        </w:numPr>
        <w:spacing w:before="60" w:after="60"/>
      </w:pPr>
      <w:r>
        <w:rPr>
          <w:color w:val="1A1A1A"/>
        </w:rPr>
        <w:t>Achse 2 – Merkel: Merkel baut Von der Leyen durch vier Kabinettsernennungen auf (2005–2019) → Merkels Segen ermöglicht Von der Leyens Aufstieg in die EU → Merkel blockiert TRIPS-Ausnahmeregelung zum Schutz des geistigen Eigentums von Pfizer (2021).</w:t>
      </w:r>
    </w:p>
    <w:p w14:paraId="438FED38" w14:textId="77777777" w:rsidR="006F2AB4" w:rsidRDefault="002C6E1D">
      <w:pPr>
        <w:spacing w:before="60" w:after="60" w:line="288" w:lineRule="auto"/>
        <w:jc w:val="both"/>
      </w:pPr>
      <w:r>
        <w:rPr>
          <w:color w:val="1A1A1A"/>
        </w:rPr>
        <w:t>Von der Leyen ist der Dreh- und Angelpunkt. Macron sorgte für den Aufstieg; Merkel lieferte das Fundament und den politischen Rückhalt. Beide Achsen laufen auf denselben Unternehmensbegünstigten zusammen: Pfizer, das EU-Verträge im Wert von 35 Mrd. € erhielt, die hinter verschlossenen Türen ausgehandelt wurden, wobei die Haftung auf die Bürger abgewälzt, das geistige Eigentum durch ein G7-Veto geschützt und die Beweise dafür, wie dies arrangiert wurde, anschließend vernichtet wurden.</w:t>
      </w:r>
    </w:p>
    <w:p w14:paraId="038C5E61" w14:textId="77777777" w:rsidR="006F2AB4" w:rsidRDefault="002C6E1D">
      <w:pPr>
        <w:pStyle w:val="berschrift2"/>
      </w:pPr>
      <w:r>
        <w:t>4.8 Was dieses Netzwerk bedeutet – aus menschlicher Sicht</w:t>
      </w:r>
    </w:p>
    <w:p w14:paraId="3B0D6B55" w14:textId="77777777" w:rsidR="006F2AB4" w:rsidRDefault="002C6E1D">
      <w:pPr>
        <w:spacing w:before="60" w:after="60" w:line="288" w:lineRule="auto"/>
        <w:jc w:val="both"/>
      </w:pPr>
      <w:r>
        <w:rPr>
          <w:color w:val="1A1A1A"/>
        </w:rPr>
        <w:t>Es lohnt sich, klar und deutlich zu sagen, was dieses Netzwerk für normale Menschen bewirkt hat, denn die Fachsprache des Vergaberechts und der institutionellen Analyse kann dies verschleiern.</w:t>
      </w:r>
    </w:p>
    <w:p w14:paraId="0CDB6949" w14:textId="77777777" w:rsidR="006F2AB4" w:rsidRDefault="002C6E1D">
      <w:pPr>
        <w:spacing w:before="60" w:after="60" w:line="288" w:lineRule="auto"/>
        <w:jc w:val="both"/>
      </w:pPr>
      <w:r>
        <w:rPr>
          <w:color w:val="1A1A1A"/>
        </w:rPr>
        <w:t>Einer Krankenschwester in Frankfurt wurde mitgeteilt, sie würde ihren Arbeitsplatz verlieren, wenn sie sich nicht impfen ließe. Ihre Regierung hatte bereits einen Vertrag unterzeichnet, in dem anerkannt wurde, dass die Langzeitwirkungen dieser Impfung unbekannt waren – doch dieser Vertrag wurde geschwärzt, sodass sie ihn nicht lesen konnte. Das Unternehmen, das die Impfung herstellte, trug keine rechtliche Haftung, falls diese ihr schaden sollte – doch auch diese Klausel war geschwärzt worden. Die Aufsichts</w:t>
      </w:r>
      <w:r>
        <w:rPr>
          <w:color w:val="1A1A1A"/>
        </w:rPr>
        <w:t>behörde hatte bestätigt, dass die Impfung sie nicht daran hindern würde, das Virus auf ihre Patienten zu übertragen – doch genau auf dieser Grundlage wurden Impfpässe und Beschäftigungsbeschränkungen gerechtfertigt. Gegen den Politiker, der den Vertrag in ihrem Namen ausgehandelt hatte, wurde gleichzeitig wegen der Vernichtung von Nachrichten ermittelt, die offenlegen würden, worauf sie sich tatsächlich geeinigt hatte. Diese Ermittlungen dauern an. Der Politiker wurde wiedergewählt.</w:t>
      </w:r>
    </w:p>
    <w:p w14:paraId="5862BAFC" w14:textId="77777777" w:rsidR="006F2AB4" w:rsidRDefault="002C6E1D">
      <w:pPr>
        <w:spacing w:before="60" w:after="60" w:line="288" w:lineRule="auto"/>
        <w:jc w:val="both"/>
      </w:pPr>
      <w:r>
        <w:rPr>
          <w:color w:val="1A1A1A"/>
        </w:rPr>
        <w:t xml:space="preserve">Einem Kleinunternehmer in Lyon wurde mitgeteilt, er dürfe sein Restaurant nur betreiben, wenn sein Personal geimpft sei. Frankreichs Präsident – der seine Karriere bei Rothschild &amp; Cie aufgebaut hatte und dessen erster großer Deal dort für Pfizer war – war derjenige, der diese Auflage am aggressivsten durchsetzte. Er wurde nicht </w:t>
      </w:r>
      <w:r>
        <w:rPr>
          <w:color w:val="1A1A1A"/>
        </w:rPr>
        <w:lastRenderedPageBreak/>
        <w:t>aufgefordert, diese berufliche Vergangenheit offenzulegen. Er wurde nicht aufgefordert, sich aus der Pandemiebekämpfung zurückzuziehen. Er ist nach wie vor Präsident.</w:t>
      </w:r>
    </w:p>
    <w:p w14:paraId="5EAC287E" w14:textId="77777777" w:rsidR="006F2AB4" w:rsidRDefault="002C6E1D">
      <w:pPr>
        <w:spacing w:before="60" w:after="60" w:line="288" w:lineRule="auto"/>
        <w:jc w:val="both"/>
      </w:pPr>
      <w:r>
        <w:rPr>
          <w:color w:val="1A1A1A"/>
        </w:rPr>
        <w:t>Einer älteren Frau in Warschau, die nicht zu ihrer Familie reisen durfte, wurde nicht mitgeteilt, dass ihre Regierung einen Vertrag unterzeichnet hatte, in dem unbekannte Langzeitfolgen eingeräumt und die gesamte Haftung auf sich selbst übertragen wurden. Ihr wurde nicht gesagt, dass die ihr auferlegte Einschränkung auf einer Behauptung zur Übertragungsprävention beruhte, die die Aufsichtsbehörde nie aufgestellt hatte. Ihr wurde gesagt, die Wissenschaft sei sich einig.</w:t>
      </w:r>
    </w:p>
    <w:p w14:paraId="0D9A468A" w14:textId="77777777" w:rsidR="006F2AB4" w:rsidRDefault="002C6E1D">
      <w:pPr>
        <w:spacing w:before="60" w:after="60" w:line="288" w:lineRule="auto"/>
        <w:jc w:val="both"/>
      </w:pPr>
      <w:r>
        <w:rPr>
          <w:color w:val="1A1A1A"/>
        </w:rPr>
        <w:t>Das ist das Ergebnis dieses Netzwerks. Nicht in der Theorie. In der Praxis. Im Alltag realer Menschen in 27 Ländern.</w:t>
      </w:r>
    </w:p>
    <w:p w14:paraId="7290CAA9" w14:textId="77777777" w:rsidR="006F2AB4" w:rsidRDefault="002C6E1D">
      <w:pPr>
        <w:spacing w:before="60" w:after="60" w:line="288" w:lineRule="auto"/>
        <w:jc w:val="both"/>
      </w:pPr>
      <w:r>
        <w:rPr>
          <w:color w:val="1A1A1A"/>
        </w:rPr>
        <w:t>Das Netzwerk benötigt keine geheimen Befehle oder konspirativen Treffen. Es funktioniert durch etwas Beständigeres: gemeinsame Prägung, gemeinsame Interessen, gegenseitigen Schutz und das institutionelle Vertrauen von Menschen, die nie einer nennenswerten Rechenschaftspflicht ausgesetzt waren. Macron kam von Rothschild. Von der Leyen kam von Merkel. Die Verträge entstanden aus Textnachrichten. Die Textnachrichten wurden vernichtet. Die Ermittlungen dauern an. Das Netzwerk bleibt bestehen.</w:t>
      </w:r>
    </w:p>
    <w:p w14:paraId="37BBADE1" w14:textId="77777777" w:rsidR="006F2AB4" w:rsidRDefault="002C6E1D">
      <w:pPr>
        <w:spacing w:before="60" w:after="60" w:line="288" w:lineRule="auto"/>
        <w:jc w:val="both"/>
      </w:pPr>
      <w:r>
        <w:rPr>
          <w:color w:val="1A1A1A"/>
        </w:rPr>
        <w:t>Ob dies eine strafbare Korruption darstellt, müssen die Staatsanwälte entscheiden. Was es in demokratischer Hinsicht darstellt, ist ein systematisches, dokumentiertes und nach wie vor unbehobenes Versagen aller Schutzmechanismen, die die Bürger vor genau dieser Art der Vereinnahmung schützen sollten.</w:t>
      </w:r>
    </w:p>
    <w:p w14:paraId="360A6D93" w14:textId="77777777" w:rsidR="006F2AB4" w:rsidRDefault="006F2AB4">
      <w:pPr>
        <w:spacing w:after="120"/>
      </w:pPr>
    </w:p>
    <w:p w14:paraId="491A7C44" w14:textId="77777777" w:rsidR="006F2AB4" w:rsidRDefault="002C6E1D">
      <w:pPr>
        <w:pStyle w:val="berschrift1"/>
        <w:pBdr>
          <w:bottom w:val="single" w:sz="8" w:space="4" w:color="1A1A2E"/>
        </w:pBdr>
      </w:pPr>
      <w:r>
        <w:t>5. Die Verträge – Was wurde verheimlicht und warum</w:t>
      </w:r>
    </w:p>
    <w:p w14:paraId="181E0AB5" w14:textId="77777777" w:rsidR="006F2AB4" w:rsidRDefault="002C6E1D">
      <w:pPr>
        <w:pStyle w:val="berschrift2"/>
      </w:pPr>
      <w:r>
        <w:t>5.1 Struktur</w:t>
      </w:r>
    </w:p>
    <w:p w14:paraId="538D789A" w14:textId="77777777" w:rsidR="006F2AB4" w:rsidRDefault="002C6E1D">
      <w:pPr>
        <w:spacing w:before="60" w:after="60" w:line="288" w:lineRule="auto"/>
        <w:jc w:val="both"/>
      </w:pPr>
      <w:r>
        <w:rPr>
          <w:color w:val="1A1A1A"/>
        </w:rPr>
        <w:t>Die Europäische Kommission schloss im Rahmen des Notfall-Unterstützungsinstruments (EU) 2016/369 in der durch die Verordnung (EU) 2020/521 des Rates geänderten Fassung im Namen aller teilnehmenden Mitgliedstaaten Vorabkaufvereinbarungen (Advance Purchase Agreements, APAs) ab. Formelle Unterzeichnerin war Kommissarin Stella Kyriakides. Die eigentliche Verhandlungsführerin war, wie sie selbst gegenüber der New York Times zugab, Von der Leyen.</w:t>
      </w:r>
    </w:p>
    <w:p w14:paraId="75588448" w14:textId="77777777" w:rsidR="006F2AB4" w:rsidRDefault="002C6E1D">
      <w:pPr>
        <w:spacing w:before="60" w:after="60" w:line="288" w:lineRule="auto"/>
        <w:jc w:val="both"/>
      </w:pPr>
      <w:r>
        <w:rPr>
          <w:color w:val="1A1A1A"/>
        </w:rPr>
        <w:t>Gemäß Artikel 7 des Rahmenabkommens verpflichteten sich die teilnehmenden Mitgliedstaaten, keine separaten Verhandlungen mit denselben Herstellern zu führen – wodurch sie an die von der Kommission vereinbarten Bedingungen gebunden waren.</w:t>
      </w:r>
    </w:p>
    <w:p w14:paraId="5FD7C447" w14:textId="77777777" w:rsidR="006F2AB4" w:rsidRDefault="002C6E1D">
      <w:pPr>
        <w:pStyle w:val="berschrift2"/>
      </w:pPr>
      <w:r>
        <w:t>5.2 Was wurde geschwärzt – und warum ist das von Bedeutung?</w:t>
      </w:r>
    </w:p>
    <w:p w14:paraId="7391B706" w14:textId="77777777" w:rsidR="006F2AB4" w:rsidRDefault="002C6E1D">
      <w:pPr>
        <w:spacing w:before="60" w:after="60" w:line="288" w:lineRule="auto"/>
        <w:jc w:val="both"/>
      </w:pPr>
      <w:r>
        <w:rPr>
          <w:color w:val="1A1A1A"/>
        </w:rPr>
        <w:t>Die Schwärzungen erfolgten nicht willkürlich und betrafen nicht in erster Linie Geschäftsgeheimnisse. Sie folgten einer präzisen Logik: Alles, was öffentliche Empörung ausgelöst hätte, wurde verborgen; alles, was politische Legitimität verlieh, blieb sichtbar.</w:t>
      </w:r>
    </w:p>
    <w:p w14:paraId="38275C36" w14:textId="77777777" w:rsidR="006F2AB4" w:rsidRDefault="006F2AB4">
      <w:pPr>
        <w:spacing w:after="4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10"/>
        <w:gridCol w:w="3629"/>
        <w:gridCol w:w="5241"/>
      </w:tblGrid>
      <w:tr w:rsidR="006F2AB4" w14:paraId="1B27D1A7" w14:textId="77777777">
        <w:tblPrEx>
          <w:tblCellMar>
            <w:top w:w="0" w:type="dxa"/>
            <w:bottom w:w="0" w:type="dxa"/>
          </w:tblCellMar>
        </w:tblPrEx>
        <w:trPr>
          <w:tblHeader/>
        </w:trPr>
        <w:tc>
          <w:tcPr>
            <w:tcW w:w="1210" w:type="dxa"/>
            <w:tcBorders>
              <w:top w:val="single" w:sz="1" w:space="0" w:color="CCCCCC"/>
              <w:left w:val="single" w:sz="1" w:space="0" w:color="CCCCCC"/>
              <w:bottom w:val="single" w:sz="1" w:space="0" w:color="CCCCCC"/>
              <w:right w:val="single" w:sz="1" w:space="0" w:color="CCCCCC"/>
            </w:tcBorders>
            <w:shd w:val="clear" w:color="auto" w:fill="1A1A2E"/>
            <w:tcMar>
              <w:top w:w="100" w:type="dxa"/>
              <w:left w:w="150" w:type="dxa"/>
              <w:bottom w:w="100" w:type="dxa"/>
              <w:right w:w="150" w:type="dxa"/>
            </w:tcMar>
          </w:tcPr>
          <w:p w14:paraId="59096758" w14:textId="77777777" w:rsidR="006F2AB4" w:rsidRDefault="002C6E1D">
            <w:pPr>
              <w:spacing w:before="60" w:after="60"/>
            </w:pPr>
            <w:r>
              <w:rPr>
                <w:b/>
                <w:bCs/>
                <w:color w:val="FFFFFF"/>
                <w:sz w:val="18"/>
                <w:szCs w:val="18"/>
              </w:rPr>
              <w:t>ARTIKEL</w:t>
            </w:r>
          </w:p>
        </w:tc>
        <w:tc>
          <w:tcPr>
            <w:tcW w:w="3629" w:type="dxa"/>
            <w:tcBorders>
              <w:top w:val="single" w:sz="1" w:space="0" w:color="CCCCCC"/>
              <w:left w:val="single" w:sz="1" w:space="0" w:color="CCCCCC"/>
              <w:bottom w:val="single" w:sz="1" w:space="0" w:color="CCCCCC"/>
              <w:right w:val="single" w:sz="1" w:space="0" w:color="CCCCCC"/>
            </w:tcBorders>
            <w:shd w:val="clear" w:color="auto" w:fill="1A1A2E"/>
            <w:tcMar>
              <w:top w:w="100" w:type="dxa"/>
              <w:left w:w="150" w:type="dxa"/>
              <w:bottom w:w="100" w:type="dxa"/>
              <w:right w:w="150" w:type="dxa"/>
            </w:tcMar>
          </w:tcPr>
          <w:p w14:paraId="58CE921B" w14:textId="77777777" w:rsidR="006F2AB4" w:rsidRDefault="002C6E1D">
            <w:pPr>
              <w:spacing w:before="60" w:after="60"/>
            </w:pPr>
            <w:r>
              <w:rPr>
                <w:b/>
                <w:bCs/>
                <w:color w:val="FFFFFF"/>
                <w:sz w:val="18"/>
                <w:szCs w:val="18"/>
              </w:rPr>
              <w:t>WAS WURDE ZENSURIERT</w:t>
            </w:r>
          </w:p>
        </w:tc>
        <w:tc>
          <w:tcPr>
            <w:tcW w:w="5242" w:type="dxa"/>
            <w:tcBorders>
              <w:top w:val="single" w:sz="1" w:space="0" w:color="CCCCCC"/>
              <w:left w:val="single" w:sz="1" w:space="0" w:color="CCCCCC"/>
              <w:bottom w:val="single" w:sz="1" w:space="0" w:color="CCCCCC"/>
              <w:right w:val="single" w:sz="1" w:space="0" w:color="CCCCCC"/>
            </w:tcBorders>
            <w:shd w:val="clear" w:color="auto" w:fill="1A1A2E"/>
            <w:tcMar>
              <w:top w:w="100" w:type="dxa"/>
              <w:left w:w="150" w:type="dxa"/>
              <w:bottom w:w="100" w:type="dxa"/>
              <w:right w:w="150" w:type="dxa"/>
            </w:tcMar>
          </w:tcPr>
          <w:p w14:paraId="07C7E84F" w14:textId="77777777" w:rsidR="006F2AB4" w:rsidRDefault="002C6E1D">
            <w:pPr>
              <w:spacing w:before="60" w:after="60"/>
            </w:pPr>
            <w:r>
              <w:rPr>
                <w:b/>
                <w:bCs/>
                <w:color w:val="FFFFFF"/>
                <w:sz w:val="18"/>
                <w:szCs w:val="18"/>
              </w:rPr>
              <w:t>WARUM ES VON BEDEUTUNG IST</w:t>
            </w:r>
          </w:p>
        </w:tc>
      </w:tr>
      <w:tr w:rsidR="006F2AB4" w14:paraId="37211CDB" w14:textId="77777777">
        <w:tblPrEx>
          <w:tblCellMar>
            <w:top w:w="0" w:type="dxa"/>
            <w:bottom w:w="0" w:type="dxa"/>
          </w:tblCellMar>
        </w:tblPrEx>
        <w:tc>
          <w:tcPr>
            <w:tcW w:w="1210" w:type="dxa"/>
            <w:tcBorders>
              <w:top w:val="single" w:sz="1" w:space="0" w:color="CCCCCC"/>
              <w:left w:val="single" w:sz="1" w:space="0" w:color="CCCCCC"/>
              <w:bottom w:val="single" w:sz="1" w:space="0" w:color="CCCCCC"/>
              <w:right w:val="single" w:sz="1" w:space="0" w:color="CCCCCC"/>
            </w:tcBorders>
            <w:shd w:val="clear" w:color="auto" w:fill="FAFAFA"/>
            <w:tcMar>
              <w:top w:w="100" w:type="dxa"/>
              <w:left w:w="150" w:type="dxa"/>
              <w:bottom w:w="100" w:type="dxa"/>
              <w:right w:w="150" w:type="dxa"/>
            </w:tcMar>
          </w:tcPr>
          <w:p w14:paraId="61A2BAEC" w14:textId="77777777" w:rsidR="006F2AB4" w:rsidRDefault="002C6E1D">
            <w:pPr>
              <w:spacing w:before="60" w:after="60"/>
            </w:pPr>
            <w:r>
              <w:rPr>
                <w:color w:val="1A1A1A"/>
                <w:sz w:val="18"/>
                <w:szCs w:val="18"/>
              </w:rPr>
              <w:t>Art. 1.7</w:t>
            </w:r>
          </w:p>
        </w:tc>
        <w:tc>
          <w:tcPr>
            <w:tcW w:w="3629" w:type="dxa"/>
            <w:tcBorders>
              <w:top w:val="single" w:sz="1" w:space="0" w:color="CCCCCC"/>
              <w:left w:val="single" w:sz="1" w:space="0" w:color="CCCCCC"/>
              <w:bottom w:val="single" w:sz="1" w:space="0" w:color="CCCCCC"/>
              <w:right w:val="single" w:sz="1" w:space="0" w:color="CCCCCC"/>
            </w:tcBorders>
            <w:shd w:val="clear" w:color="auto" w:fill="FAFAFA"/>
            <w:tcMar>
              <w:top w:w="100" w:type="dxa"/>
              <w:left w:w="150" w:type="dxa"/>
              <w:bottom w:w="100" w:type="dxa"/>
              <w:right w:w="150" w:type="dxa"/>
            </w:tcMar>
          </w:tcPr>
          <w:p w14:paraId="3AE9E5F9" w14:textId="77777777" w:rsidR="006F2AB4" w:rsidRDefault="002C6E1D">
            <w:pPr>
              <w:spacing w:before="60" w:after="60"/>
            </w:pPr>
            <w:r>
              <w:rPr>
                <w:color w:val="1A1A1A"/>
                <w:sz w:val="18"/>
                <w:szCs w:val="18"/>
              </w:rPr>
              <w:t>Preis pro Dosis – gesamter Abschnitt geschwärzt. Die gestaffelte Struktur (durchschnittlich 15,50 € pro Dosis) wurde vollständig verborgen.</w:t>
            </w:r>
          </w:p>
        </w:tc>
        <w:tc>
          <w:tcPr>
            <w:tcW w:w="5242" w:type="dxa"/>
            <w:tcBorders>
              <w:top w:val="single" w:sz="1" w:space="0" w:color="CCCCCC"/>
              <w:left w:val="single" w:sz="1" w:space="0" w:color="CCCCCC"/>
              <w:bottom w:val="single" w:sz="1" w:space="0" w:color="CCCCCC"/>
              <w:right w:val="single" w:sz="1" w:space="0" w:color="CCCCCC"/>
            </w:tcBorders>
            <w:shd w:val="clear" w:color="auto" w:fill="FAFAFA"/>
            <w:tcMar>
              <w:top w:w="100" w:type="dxa"/>
              <w:left w:w="150" w:type="dxa"/>
              <w:bottom w:w="100" w:type="dxa"/>
              <w:right w:w="150" w:type="dxa"/>
            </w:tcMar>
          </w:tcPr>
          <w:p w14:paraId="3A284D0F" w14:textId="77777777" w:rsidR="006F2AB4" w:rsidRDefault="002C6E1D">
            <w:pPr>
              <w:spacing w:before="60" w:after="60"/>
            </w:pPr>
            <w:r>
              <w:rPr>
                <w:color w:val="1A1A1A"/>
                <w:sz w:val="18"/>
                <w:szCs w:val="18"/>
              </w:rPr>
              <w:t>Die Bürger konnten nicht beurteilen, ob öffentliche Gelder verantwortungsvoll ausgegeben wurden oder ob Pfizer von einem gebundenen Käufer ohne wettbewerbsorientierte Ausschreibung Preise über dem Marktniveau erhielt.</w:t>
            </w:r>
          </w:p>
        </w:tc>
      </w:tr>
      <w:tr w:rsidR="006F2AB4" w14:paraId="7586A223" w14:textId="77777777">
        <w:tblPrEx>
          <w:tblCellMar>
            <w:top w:w="0" w:type="dxa"/>
            <w:bottom w:w="0" w:type="dxa"/>
          </w:tblCellMar>
        </w:tblPrEx>
        <w:tc>
          <w:tcPr>
            <w:tcW w:w="121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0C5CC053" w14:textId="77777777" w:rsidR="006F2AB4" w:rsidRDefault="002C6E1D">
            <w:pPr>
              <w:spacing w:before="60" w:after="60"/>
            </w:pPr>
            <w:r>
              <w:rPr>
                <w:color w:val="1A1A1A"/>
                <w:sz w:val="18"/>
                <w:szCs w:val="18"/>
              </w:rPr>
              <w:t>Art. 1.8.1</w:t>
            </w:r>
          </w:p>
        </w:tc>
        <w:tc>
          <w:tcPr>
            <w:tcW w:w="3629"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5D4ADD8F" w14:textId="77777777" w:rsidR="006F2AB4" w:rsidRDefault="002C6E1D">
            <w:pPr>
              <w:spacing w:before="60" w:after="60"/>
            </w:pPr>
            <w:r>
              <w:rPr>
                <w:color w:val="1A1A1A"/>
                <w:sz w:val="18"/>
                <w:szCs w:val="18"/>
              </w:rPr>
              <w:t>Vorauszahlung – die Vorauszahlung in Höhe von 700 Millionen € wurde verschleiert. Sie erfolgte, bevor auch nur eine einzige Dosis geliefert wurde.</w:t>
            </w:r>
          </w:p>
        </w:tc>
        <w:tc>
          <w:tcPr>
            <w:tcW w:w="5242"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1C2293A3" w14:textId="77777777" w:rsidR="006F2AB4" w:rsidRDefault="002C6E1D">
            <w:pPr>
              <w:spacing w:before="60" w:after="60"/>
            </w:pPr>
            <w:r>
              <w:rPr>
                <w:color w:val="1A1A1A"/>
                <w:sz w:val="18"/>
                <w:szCs w:val="18"/>
              </w:rPr>
              <w:t>Die Gelder der Bürger wurden gebunden, bevor die Zulassung erteilt wurde. Während der Bindung der Mittel war keine öffentliche Kontrolle möglich.</w:t>
            </w:r>
          </w:p>
        </w:tc>
      </w:tr>
      <w:tr w:rsidR="006F2AB4" w14:paraId="2C70B059" w14:textId="77777777">
        <w:tblPrEx>
          <w:tblCellMar>
            <w:top w:w="0" w:type="dxa"/>
            <w:bottom w:w="0" w:type="dxa"/>
          </w:tblCellMar>
        </w:tblPrEx>
        <w:tc>
          <w:tcPr>
            <w:tcW w:w="1210" w:type="dxa"/>
            <w:tcBorders>
              <w:top w:val="single" w:sz="1" w:space="0" w:color="CCCCCC"/>
              <w:left w:val="single" w:sz="1" w:space="0" w:color="CCCCCC"/>
              <w:bottom w:val="single" w:sz="1" w:space="0" w:color="CCCCCC"/>
              <w:right w:val="single" w:sz="1" w:space="0" w:color="CCCCCC"/>
            </w:tcBorders>
            <w:shd w:val="clear" w:color="auto" w:fill="FAFAFA"/>
            <w:tcMar>
              <w:top w:w="100" w:type="dxa"/>
              <w:left w:w="150" w:type="dxa"/>
              <w:bottom w:w="100" w:type="dxa"/>
              <w:right w:w="150" w:type="dxa"/>
            </w:tcMar>
          </w:tcPr>
          <w:p w14:paraId="49071552" w14:textId="77777777" w:rsidR="006F2AB4" w:rsidRDefault="002C6E1D">
            <w:pPr>
              <w:spacing w:before="60" w:after="60"/>
            </w:pPr>
            <w:r>
              <w:rPr>
                <w:color w:val="1A1A1A"/>
                <w:sz w:val="18"/>
                <w:szCs w:val="18"/>
              </w:rPr>
              <w:lastRenderedPageBreak/>
              <w:t>Art. 1.6.3</w:t>
            </w:r>
          </w:p>
        </w:tc>
        <w:tc>
          <w:tcPr>
            <w:tcW w:w="3629" w:type="dxa"/>
            <w:tcBorders>
              <w:top w:val="single" w:sz="1" w:space="0" w:color="CCCCCC"/>
              <w:left w:val="single" w:sz="1" w:space="0" w:color="CCCCCC"/>
              <w:bottom w:val="single" w:sz="1" w:space="0" w:color="CCCCCC"/>
              <w:right w:val="single" w:sz="1" w:space="0" w:color="CCCCCC"/>
            </w:tcBorders>
            <w:shd w:val="clear" w:color="auto" w:fill="FAFAFA"/>
            <w:tcMar>
              <w:top w:w="100" w:type="dxa"/>
              <w:left w:w="150" w:type="dxa"/>
              <w:bottom w:w="100" w:type="dxa"/>
              <w:right w:w="150" w:type="dxa"/>
            </w:tcMar>
          </w:tcPr>
          <w:p w14:paraId="2FC9C754" w14:textId="77777777" w:rsidR="006F2AB4" w:rsidRDefault="002C6E1D">
            <w:pPr>
              <w:spacing w:before="60" w:after="60"/>
            </w:pPr>
            <w:r>
              <w:rPr>
                <w:color w:val="1A1A1A"/>
                <w:sz w:val="18"/>
                <w:szCs w:val="18"/>
              </w:rPr>
              <w:t>Lieferplan – Termine und vierteljährliche Mengen wurden geschwärzt.</w:t>
            </w:r>
          </w:p>
        </w:tc>
        <w:tc>
          <w:tcPr>
            <w:tcW w:w="5242" w:type="dxa"/>
            <w:tcBorders>
              <w:top w:val="single" w:sz="1" w:space="0" w:color="CCCCCC"/>
              <w:left w:val="single" w:sz="1" w:space="0" w:color="CCCCCC"/>
              <w:bottom w:val="single" w:sz="1" w:space="0" w:color="CCCCCC"/>
              <w:right w:val="single" w:sz="1" w:space="0" w:color="CCCCCC"/>
            </w:tcBorders>
            <w:shd w:val="clear" w:color="auto" w:fill="FAFAFA"/>
            <w:tcMar>
              <w:top w:w="100" w:type="dxa"/>
              <w:left w:w="150" w:type="dxa"/>
              <w:bottom w:w="100" w:type="dxa"/>
              <w:right w:w="150" w:type="dxa"/>
            </w:tcMar>
          </w:tcPr>
          <w:p w14:paraId="6AF0A181" w14:textId="77777777" w:rsidR="006F2AB4" w:rsidRDefault="002C6E1D">
            <w:pPr>
              <w:spacing w:before="60" w:after="60"/>
            </w:pPr>
            <w:r>
              <w:rPr>
                <w:color w:val="1A1A1A"/>
                <w:sz w:val="18"/>
                <w:szCs w:val="18"/>
              </w:rPr>
              <w:t>Die Bürger konnten nicht überprüfen, ob die Lieferungen termingerecht erfolgten oder ob die Regierungen mangelhafte Leistungen ohne Konsequenzen akzeptierten.</w:t>
            </w:r>
          </w:p>
        </w:tc>
      </w:tr>
      <w:tr w:rsidR="006F2AB4" w14:paraId="0C2661BC" w14:textId="77777777">
        <w:tblPrEx>
          <w:tblCellMar>
            <w:top w:w="0" w:type="dxa"/>
            <w:bottom w:w="0" w:type="dxa"/>
          </w:tblCellMar>
        </w:tblPrEx>
        <w:tc>
          <w:tcPr>
            <w:tcW w:w="121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7A2A221E" w14:textId="77777777" w:rsidR="006F2AB4" w:rsidRDefault="002C6E1D">
            <w:pPr>
              <w:spacing w:before="60" w:after="60"/>
            </w:pPr>
            <w:r>
              <w:rPr>
                <w:color w:val="1A1A1A"/>
                <w:sz w:val="18"/>
                <w:szCs w:val="18"/>
              </w:rPr>
              <w:t>Art. 1.6.9</w:t>
            </w:r>
          </w:p>
        </w:tc>
        <w:tc>
          <w:tcPr>
            <w:tcW w:w="3629"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3D6BC64B" w14:textId="77777777" w:rsidR="006F2AB4" w:rsidRDefault="002C6E1D">
            <w:pPr>
              <w:spacing w:before="60" w:after="60"/>
            </w:pPr>
            <w:r>
              <w:rPr>
                <w:color w:val="1A1A1A"/>
                <w:sz w:val="18"/>
                <w:szCs w:val="18"/>
              </w:rPr>
              <w:t>Lagertemperatur – die Anforderung einer extrem kalten Kühlkette bei -75 °C wurde geschwärzt.</w:t>
            </w:r>
          </w:p>
        </w:tc>
        <w:tc>
          <w:tcPr>
            <w:tcW w:w="5242"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6AA30C93" w14:textId="77777777" w:rsidR="006F2AB4" w:rsidRDefault="002C6E1D">
            <w:pPr>
              <w:spacing w:before="60" w:after="60"/>
            </w:pPr>
            <w:r>
              <w:rPr>
                <w:color w:val="1A1A1A"/>
                <w:sz w:val="18"/>
                <w:szCs w:val="18"/>
              </w:rPr>
              <w:t>Die tatsächlichen Gesamtkosten der Beschaffung wurden verschleiert. Die Bürger wurden nicht über die Infrastruktur für die Tiefkühlkette informiert, zu deren Finanzierung und Instandhaltung sich ihre Regierungen verpflichtet hatten.</w:t>
            </w:r>
          </w:p>
        </w:tc>
      </w:tr>
      <w:tr w:rsidR="006F2AB4" w14:paraId="20E9F505" w14:textId="77777777">
        <w:tblPrEx>
          <w:tblCellMar>
            <w:top w:w="0" w:type="dxa"/>
            <w:bottom w:w="0" w:type="dxa"/>
          </w:tblCellMar>
        </w:tblPrEx>
        <w:tc>
          <w:tcPr>
            <w:tcW w:w="1210" w:type="dxa"/>
            <w:tcBorders>
              <w:top w:val="single" w:sz="1" w:space="0" w:color="CCCCCC"/>
              <w:left w:val="single" w:sz="1" w:space="0" w:color="CCCCCC"/>
              <w:bottom w:val="single" w:sz="1" w:space="0" w:color="CCCCCC"/>
              <w:right w:val="single" w:sz="1" w:space="0" w:color="CCCCCC"/>
            </w:tcBorders>
            <w:shd w:val="clear" w:color="auto" w:fill="FAFAFA"/>
            <w:tcMar>
              <w:top w:w="100" w:type="dxa"/>
              <w:left w:w="150" w:type="dxa"/>
              <w:bottom w:w="100" w:type="dxa"/>
              <w:right w:w="150" w:type="dxa"/>
            </w:tcMar>
          </w:tcPr>
          <w:p w14:paraId="37802637" w14:textId="77777777" w:rsidR="006F2AB4" w:rsidRDefault="002C6E1D">
            <w:pPr>
              <w:spacing w:before="60" w:after="60"/>
            </w:pPr>
            <w:r>
              <w:rPr>
                <w:color w:val="1A1A1A"/>
                <w:sz w:val="18"/>
                <w:szCs w:val="18"/>
              </w:rPr>
              <w:t>Art. 1.6.12</w:t>
            </w:r>
          </w:p>
        </w:tc>
        <w:tc>
          <w:tcPr>
            <w:tcW w:w="3629" w:type="dxa"/>
            <w:tcBorders>
              <w:top w:val="single" w:sz="1" w:space="0" w:color="CCCCCC"/>
              <w:left w:val="single" w:sz="1" w:space="0" w:color="CCCCCC"/>
              <w:bottom w:val="single" w:sz="1" w:space="0" w:color="CCCCCC"/>
              <w:right w:val="single" w:sz="1" w:space="0" w:color="CCCCCC"/>
            </w:tcBorders>
            <w:shd w:val="clear" w:color="auto" w:fill="FAFAFA"/>
            <w:tcMar>
              <w:top w:w="100" w:type="dxa"/>
              <w:left w:w="150" w:type="dxa"/>
              <w:bottom w:w="100" w:type="dxa"/>
              <w:right w:w="150" w:type="dxa"/>
            </w:tcMar>
          </w:tcPr>
          <w:p w14:paraId="4A46D94E" w14:textId="77777777" w:rsidR="006F2AB4" w:rsidRDefault="002C6E1D">
            <w:pPr>
              <w:spacing w:before="60" w:after="60"/>
            </w:pPr>
            <w:r>
              <w:rPr>
                <w:color w:val="1A1A1A"/>
                <w:sz w:val="18"/>
                <w:szCs w:val="18"/>
              </w:rPr>
              <w:t>Verlustrisiko – Die Klausel, wonach das gesamte Risiko bei Lieferung auf die Mitgliedstaaten überging, wurde vollständig gestrichen.</w:t>
            </w:r>
          </w:p>
        </w:tc>
        <w:tc>
          <w:tcPr>
            <w:tcW w:w="5242" w:type="dxa"/>
            <w:tcBorders>
              <w:top w:val="single" w:sz="1" w:space="0" w:color="CCCCCC"/>
              <w:left w:val="single" w:sz="1" w:space="0" w:color="CCCCCC"/>
              <w:bottom w:val="single" w:sz="1" w:space="0" w:color="CCCCCC"/>
              <w:right w:val="single" w:sz="1" w:space="0" w:color="CCCCCC"/>
            </w:tcBorders>
            <w:shd w:val="clear" w:color="auto" w:fill="FAFAFA"/>
            <w:tcMar>
              <w:top w:w="100" w:type="dxa"/>
              <w:left w:w="150" w:type="dxa"/>
              <w:bottom w:w="100" w:type="dxa"/>
              <w:right w:w="150" w:type="dxa"/>
            </w:tcMar>
          </w:tcPr>
          <w:p w14:paraId="1B0B7090" w14:textId="77777777" w:rsidR="006F2AB4" w:rsidRDefault="002C6E1D">
            <w:pPr>
              <w:spacing w:before="60" w:after="60"/>
            </w:pPr>
            <w:r>
              <w:rPr>
                <w:color w:val="1A1A1A"/>
                <w:sz w:val="18"/>
                <w:szCs w:val="18"/>
              </w:rPr>
              <w:t>Ab dem Zeitpunkt der Lieferung gingen alle physischen und finanziellen Risiken auf die Regierungen über. Die Bürger trugen den Verlust durch Verderb, Verschwendung oder ungenutzte Dosen, ohne zu wissen, dass dies vereinbart worden war.</w:t>
            </w:r>
          </w:p>
        </w:tc>
      </w:tr>
      <w:tr w:rsidR="006F2AB4" w14:paraId="7B0ABFF5" w14:textId="77777777">
        <w:tblPrEx>
          <w:tblCellMar>
            <w:top w:w="0" w:type="dxa"/>
            <w:bottom w:w="0" w:type="dxa"/>
          </w:tblCellMar>
        </w:tblPrEx>
        <w:tc>
          <w:tcPr>
            <w:tcW w:w="121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4A6976D7" w14:textId="77777777" w:rsidR="006F2AB4" w:rsidRDefault="002C6E1D">
            <w:pPr>
              <w:spacing w:before="60" w:after="60"/>
            </w:pPr>
            <w:r>
              <w:rPr>
                <w:color w:val="1A1A1A"/>
                <w:sz w:val="18"/>
                <w:szCs w:val="18"/>
              </w:rPr>
              <w:t>Art. 1.12</w:t>
            </w:r>
          </w:p>
        </w:tc>
        <w:tc>
          <w:tcPr>
            <w:tcW w:w="3629"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4B00EE85" w14:textId="77777777" w:rsidR="006F2AB4" w:rsidRDefault="002C6E1D">
            <w:pPr>
              <w:spacing w:before="60" w:after="60"/>
            </w:pPr>
            <w:r>
              <w:rPr>
                <w:color w:val="1A1A1A"/>
                <w:sz w:val="18"/>
                <w:szCs w:val="18"/>
              </w:rPr>
              <w:t>Haftungsfreistellung – Klausel zur vollständigen Haftungsübertragung gestrichen. Pfizer stellte von praktisch allen unerwünschten Folgen frei.</w:t>
            </w:r>
          </w:p>
        </w:tc>
        <w:tc>
          <w:tcPr>
            <w:tcW w:w="5242"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7DCB4B0A" w14:textId="77777777" w:rsidR="006F2AB4" w:rsidRDefault="002C6E1D">
            <w:pPr>
              <w:spacing w:before="60" w:after="60"/>
            </w:pPr>
            <w:r>
              <w:rPr>
                <w:color w:val="1A1A1A"/>
                <w:sz w:val="18"/>
                <w:szCs w:val="18"/>
              </w:rPr>
              <w:t>Die Bürger konnten nicht wissen, dass ihre Regierungen auf das Recht verzichtet hatten, Pfizer wegen durch den Impfstoff verursachter Schäden zu verklagen. Der Hersteller trug keine Verantwortung; die Bürger trugen die unbegrenzte Haftung.</w:t>
            </w:r>
          </w:p>
        </w:tc>
      </w:tr>
      <w:tr w:rsidR="006F2AB4" w14:paraId="14EDDE3E" w14:textId="77777777">
        <w:tblPrEx>
          <w:tblCellMar>
            <w:top w:w="0" w:type="dxa"/>
            <w:bottom w:w="0" w:type="dxa"/>
          </w:tblCellMar>
        </w:tblPrEx>
        <w:tc>
          <w:tcPr>
            <w:tcW w:w="1210" w:type="dxa"/>
            <w:tcBorders>
              <w:top w:val="single" w:sz="1" w:space="0" w:color="CCCCCC"/>
              <w:left w:val="single" w:sz="1" w:space="0" w:color="CCCCCC"/>
              <w:bottom w:val="single" w:sz="1" w:space="0" w:color="CCCCCC"/>
              <w:right w:val="single" w:sz="1" w:space="0" w:color="CCCCCC"/>
            </w:tcBorders>
            <w:shd w:val="clear" w:color="auto" w:fill="FAFAFA"/>
            <w:tcMar>
              <w:top w:w="100" w:type="dxa"/>
              <w:left w:w="150" w:type="dxa"/>
              <w:bottom w:w="100" w:type="dxa"/>
              <w:right w:w="150" w:type="dxa"/>
            </w:tcMar>
          </w:tcPr>
          <w:p w14:paraId="6673079F" w14:textId="77777777" w:rsidR="006F2AB4" w:rsidRDefault="002C6E1D">
            <w:pPr>
              <w:spacing w:before="60" w:after="60"/>
            </w:pPr>
            <w:r>
              <w:rPr>
                <w:color w:val="1A1A1A"/>
                <w:sz w:val="18"/>
                <w:szCs w:val="18"/>
              </w:rPr>
              <w:t>Art. 1.9</w:t>
            </w:r>
          </w:p>
        </w:tc>
        <w:tc>
          <w:tcPr>
            <w:tcW w:w="3629" w:type="dxa"/>
            <w:tcBorders>
              <w:top w:val="single" w:sz="1" w:space="0" w:color="CCCCCC"/>
              <w:left w:val="single" w:sz="1" w:space="0" w:color="CCCCCC"/>
              <w:bottom w:val="single" w:sz="1" w:space="0" w:color="CCCCCC"/>
              <w:right w:val="single" w:sz="1" w:space="0" w:color="CCCCCC"/>
            </w:tcBorders>
            <w:shd w:val="clear" w:color="auto" w:fill="FAFAFA"/>
            <w:tcMar>
              <w:top w:w="100" w:type="dxa"/>
              <w:left w:w="150" w:type="dxa"/>
              <w:bottom w:w="100" w:type="dxa"/>
              <w:right w:w="150" w:type="dxa"/>
            </w:tcMar>
          </w:tcPr>
          <w:p w14:paraId="65F85512" w14:textId="77777777" w:rsidR="006F2AB4" w:rsidRDefault="002C6E1D">
            <w:pPr>
              <w:spacing w:before="60" w:after="60"/>
            </w:pPr>
            <w:r>
              <w:rPr>
                <w:color w:val="1A1A1A"/>
                <w:sz w:val="18"/>
                <w:szCs w:val="18"/>
              </w:rPr>
              <w:t>Ansprechpartner – Janine Small (Kundenbetreuerin bei Pfizer) und Nanette Cocero (Unterzeichnerin) wurden geschwärzt.</w:t>
            </w:r>
          </w:p>
        </w:tc>
        <w:tc>
          <w:tcPr>
            <w:tcW w:w="5242" w:type="dxa"/>
            <w:tcBorders>
              <w:top w:val="single" w:sz="1" w:space="0" w:color="CCCCCC"/>
              <w:left w:val="single" w:sz="1" w:space="0" w:color="CCCCCC"/>
              <w:bottom w:val="single" w:sz="1" w:space="0" w:color="CCCCCC"/>
              <w:right w:val="single" w:sz="1" w:space="0" w:color="CCCCCC"/>
            </w:tcBorders>
            <w:shd w:val="clear" w:color="auto" w:fill="FAFAFA"/>
            <w:tcMar>
              <w:top w:w="100" w:type="dxa"/>
              <w:left w:w="150" w:type="dxa"/>
              <w:bottom w:w="100" w:type="dxa"/>
              <w:right w:w="150" w:type="dxa"/>
            </w:tcMar>
          </w:tcPr>
          <w:p w14:paraId="02E48C7A" w14:textId="77777777" w:rsidR="006F2AB4" w:rsidRDefault="002C6E1D">
            <w:pPr>
              <w:spacing w:before="60" w:after="60"/>
            </w:pPr>
            <w:r>
              <w:rPr>
                <w:color w:val="1A1A1A"/>
                <w:sz w:val="18"/>
                <w:szCs w:val="18"/>
              </w:rPr>
              <w:t>Rechenschaftspflicht setzt voraus, dass bekannt ist, wer unterzeichnet und wer die Geschäftsbeziehung betreute. Die Anonymisierung von Unternehmensunterzeichnern ist im öffentlichen Beschaffungswesen beispiellos.</w:t>
            </w:r>
          </w:p>
        </w:tc>
      </w:tr>
      <w:tr w:rsidR="006F2AB4" w14:paraId="604DE669" w14:textId="77777777">
        <w:tblPrEx>
          <w:tblCellMar>
            <w:top w:w="0" w:type="dxa"/>
            <w:bottom w:w="0" w:type="dxa"/>
          </w:tblCellMar>
        </w:tblPrEx>
        <w:tc>
          <w:tcPr>
            <w:tcW w:w="121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0473B3AA" w14:textId="77777777" w:rsidR="006F2AB4" w:rsidRDefault="002C6E1D">
            <w:pPr>
              <w:spacing w:before="60" w:after="60"/>
            </w:pPr>
            <w:r>
              <w:rPr>
                <w:color w:val="1A1A1A"/>
                <w:sz w:val="18"/>
                <w:szCs w:val="18"/>
              </w:rPr>
              <w:t>Art. 1.8.3</w:t>
            </w:r>
          </w:p>
        </w:tc>
        <w:tc>
          <w:tcPr>
            <w:tcW w:w="3629"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65C041A5" w14:textId="77777777" w:rsidR="006F2AB4" w:rsidRDefault="002C6E1D">
            <w:pPr>
              <w:spacing w:before="60" w:after="60"/>
            </w:pPr>
            <w:r>
              <w:rPr>
                <w:color w:val="1A1A1A"/>
                <w:sz w:val="18"/>
                <w:szCs w:val="18"/>
              </w:rPr>
              <w:t>Bankkonto – Das Empfängerkonto bei der Citibank in Dublin für den Vorschuss in Höhe von 700 Mio. € wurde geschwärzt.</w:t>
            </w:r>
          </w:p>
        </w:tc>
        <w:tc>
          <w:tcPr>
            <w:tcW w:w="5242"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1BA33C52" w14:textId="77777777" w:rsidR="006F2AB4" w:rsidRDefault="002C6E1D">
            <w:pPr>
              <w:spacing w:before="60" w:after="60"/>
            </w:pPr>
            <w:r>
              <w:rPr>
                <w:color w:val="1A1A1A"/>
                <w:sz w:val="18"/>
                <w:szCs w:val="18"/>
              </w:rPr>
              <w:t>Öffentliche Gelder wurden auf ein nicht offengelegtes Konto überwiesen. Die Bürger hatten keine Möglichkeit zu überprüfen, ob die Vorauszahlung den vorgesehenen Empfänger erreichte oder innerhalb der ordnungsgemäßen Kanäle verblieb.</w:t>
            </w:r>
          </w:p>
        </w:tc>
      </w:tr>
      <w:tr w:rsidR="006F2AB4" w14:paraId="48B73DD4" w14:textId="77777777">
        <w:tblPrEx>
          <w:tblCellMar>
            <w:top w:w="0" w:type="dxa"/>
            <w:bottom w:w="0" w:type="dxa"/>
          </w:tblCellMar>
        </w:tblPrEx>
        <w:tc>
          <w:tcPr>
            <w:tcW w:w="1210" w:type="dxa"/>
            <w:tcBorders>
              <w:top w:val="single" w:sz="1" w:space="0" w:color="CCCCCC"/>
              <w:left w:val="single" w:sz="1" w:space="0" w:color="CCCCCC"/>
              <w:bottom w:val="single" w:sz="1" w:space="0" w:color="CCCCCC"/>
              <w:right w:val="single" w:sz="1" w:space="0" w:color="CCCCCC"/>
            </w:tcBorders>
            <w:shd w:val="clear" w:color="auto" w:fill="FAFAFA"/>
            <w:tcMar>
              <w:top w:w="100" w:type="dxa"/>
              <w:left w:w="150" w:type="dxa"/>
              <w:bottom w:w="100" w:type="dxa"/>
              <w:right w:w="150" w:type="dxa"/>
            </w:tcMar>
          </w:tcPr>
          <w:p w14:paraId="278D3512" w14:textId="77777777" w:rsidR="006F2AB4" w:rsidRDefault="002C6E1D">
            <w:pPr>
              <w:spacing w:before="60" w:after="60"/>
            </w:pPr>
            <w:r>
              <w:rPr>
                <w:color w:val="1A1A1A"/>
                <w:sz w:val="18"/>
                <w:szCs w:val="18"/>
              </w:rPr>
              <w:t>Art. II.15</w:t>
            </w:r>
          </w:p>
        </w:tc>
        <w:tc>
          <w:tcPr>
            <w:tcW w:w="3629" w:type="dxa"/>
            <w:tcBorders>
              <w:top w:val="single" w:sz="1" w:space="0" w:color="CCCCCC"/>
              <w:left w:val="single" w:sz="1" w:space="0" w:color="CCCCCC"/>
              <w:bottom w:val="single" w:sz="1" w:space="0" w:color="CCCCCC"/>
              <w:right w:val="single" w:sz="1" w:space="0" w:color="CCCCCC"/>
            </w:tcBorders>
            <w:shd w:val="clear" w:color="auto" w:fill="FAFAFA"/>
            <w:tcMar>
              <w:top w:w="100" w:type="dxa"/>
              <w:left w:w="150" w:type="dxa"/>
              <w:bottom w:w="100" w:type="dxa"/>
              <w:right w:w="150" w:type="dxa"/>
            </w:tcMar>
          </w:tcPr>
          <w:p w14:paraId="6F39AEBB" w14:textId="77777777" w:rsidR="006F2AB4" w:rsidRDefault="002C6E1D">
            <w:pPr>
              <w:spacing w:before="60" w:after="60"/>
            </w:pPr>
            <w:r>
              <w:rPr>
                <w:color w:val="1A1A1A"/>
                <w:sz w:val="18"/>
                <w:szCs w:val="18"/>
              </w:rPr>
              <w:t>Änderungsbedingungen (Moderna) – Angaben dazu, wie und wann der Vertrag geändert werden konnte, wurden geschwärzt.</w:t>
            </w:r>
          </w:p>
        </w:tc>
        <w:tc>
          <w:tcPr>
            <w:tcW w:w="5242" w:type="dxa"/>
            <w:tcBorders>
              <w:top w:val="single" w:sz="1" w:space="0" w:color="CCCCCC"/>
              <w:left w:val="single" w:sz="1" w:space="0" w:color="CCCCCC"/>
              <w:bottom w:val="single" w:sz="1" w:space="0" w:color="CCCCCC"/>
              <w:right w:val="single" w:sz="1" w:space="0" w:color="CCCCCC"/>
            </w:tcBorders>
            <w:shd w:val="clear" w:color="auto" w:fill="FAFAFA"/>
            <w:tcMar>
              <w:top w:w="100" w:type="dxa"/>
              <w:left w:w="150" w:type="dxa"/>
              <w:bottom w:w="100" w:type="dxa"/>
              <w:right w:w="150" w:type="dxa"/>
            </w:tcMar>
          </w:tcPr>
          <w:p w14:paraId="12F128CF" w14:textId="77777777" w:rsidR="006F2AB4" w:rsidRDefault="002C6E1D">
            <w:pPr>
              <w:spacing w:before="60" w:after="60"/>
            </w:pPr>
            <w:r>
              <w:rPr>
                <w:color w:val="1A1A1A"/>
                <w:sz w:val="18"/>
                <w:szCs w:val="18"/>
              </w:rPr>
              <w:t>Die Aufsichtsgremien konnten nicht beurteilen, ob nachträgliche Änderungen hinsichtlich Preisgestaltung, Haftung oder Lieferung genehmigt waren – oder ob neue Verpflichtungen ohne Wissen des Parlaments auferlegt wurden.</w:t>
            </w:r>
          </w:p>
        </w:tc>
      </w:tr>
    </w:tbl>
    <w:p w14:paraId="38CBC36F" w14:textId="77777777" w:rsidR="006F2AB4" w:rsidRDefault="006F2AB4">
      <w:pPr>
        <w:spacing w:after="60"/>
      </w:pPr>
    </w:p>
    <w:p w14:paraId="7C1555DB" w14:textId="77777777" w:rsidR="006F2AB4" w:rsidRDefault="002C6E1D">
      <w:pPr>
        <w:spacing w:before="60" w:after="60" w:line="288" w:lineRule="auto"/>
        <w:jc w:val="both"/>
      </w:pPr>
      <w:r>
        <w:rPr>
          <w:color w:val="1A1A1A"/>
        </w:rPr>
        <w:t>Das Muster: Die Schwärzungen ließen sich in drei Kategorien einteilen – (1) Preis- und finanzielle Verpflichtungen; (2) Risiko- und Haftungsübertragung; (3) operative Details, die praktische Auswirkungen offenbarten. Was sichtbar blieb, sorgte für politische Legitimität. Was verborgen wurde, hätte Widerstand hervorgerufen. Dies waren politische Entscheidungen, die durch Vertraulichkeitsklauseln durchgesetzt wurden, die von privaten Unternehmen gegen souveräne Regierungen verfasst worden waren.</w:t>
      </w:r>
    </w:p>
    <w:p w14:paraId="598BBF46" w14:textId="77777777" w:rsidR="006F2AB4" w:rsidRDefault="002C6E1D">
      <w:pPr>
        <w:pStyle w:val="berschrift2"/>
      </w:pPr>
      <w:r>
        <w:t>5.3 APA zwischen Pfizer und BioNTech – Preisstruktur</w:t>
      </w:r>
    </w:p>
    <w:p w14:paraId="6135BF10" w14:textId="77777777" w:rsidR="006F2AB4" w:rsidRDefault="006F2AB4">
      <w:pPr>
        <w:spacing w:after="4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040"/>
        <w:gridCol w:w="5040"/>
      </w:tblGrid>
      <w:tr w:rsidR="006F2AB4" w14:paraId="4BB2D3ED" w14:textId="77777777">
        <w:tblPrEx>
          <w:tblCellMar>
            <w:top w:w="0" w:type="dxa"/>
            <w:bottom w:w="0" w:type="dxa"/>
          </w:tblCellMar>
        </w:tblPrEx>
        <w:trPr>
          <w:tblHeader/>
        </w:trPr>
        <w:tc>
          <w:tcPr>
            <w:tcW w:w="5040" w:type="dxa"/>
            <w:tcBorders>
              <w:top w:val="single" w:sz="1" w:space="0" w:color="CCCCCC"/>
              <w:left w:val="single" w:sz="1" w:space="0" w:color="CCCCCC"/>
              <w:bottom w:val="single" w:sz="1" w:space="0" w:color="CCCCCC"/>
              <w:right w:val="single" w:sz="1" w:space="0" w:color="CCCCCC"/>
            </w:tcBorders>
            <w:shd w:val="clear" w:color="auto" w:fill="1A1A2E"/>
            <w:tcMar>
              <w:top w:w="100" w:type="dxa"/>
              <w:left w:w="150" w:type="dxa"/>
              <w:bottom w:w="100" w:type="dxa"/>
              <w:right w:w="150" w:type="dxa"/>
            </w:tcMar>
          </w:tcPr>
          <w:p w14:paraId="65EFB276" w14:textId="77777777" w:rsidR="006F2AB4" w:rsidRDefault="002C6E1D">
            <w:pPr>
              <w:spacing w:before="60" w:after="60"/>
            </w:pPr>
            <w:r>
              <w:rPr>
                <w:b/>
                <w:bCs/>
                <w:color w:val="FFFFFF"/>
                <w:sz w:val="18"/>
                <w:szCs w:val="18"/>
              </w:rPr>
              <w:t>Mengenstufe</w:t>
            </w:r>
          </w:p>
        </w:tc>
        <w:tc>
          <w:tcPr>
            <w:tcW w:w="5040" w:type="dxa"/>
            <w:tcBorders>
              <w:top w:val="single" w:sz="1" w:space="0" w:color="CCCCCC"/>
              <w:left w:val="single" w:sz="1" w:space="0" w:color="CCCCCC"/>
              <w:bottom w:val="single" w:sz="1" w:space="0" w:color="CCCCCC"/>
              <w:right w:val="single" w:sz="1" w:space="0" w:color="CCCCCC"/>
            </w:tcBorders>
            <w:shd w:val="clear" w:color="auto" w:fill="1A1A2E"/>
            <w:tcMar>
              <w:top w:w="100" w:type="dxa"/>
              <w:left w:w="150" w:type="dxa"/>
              <w:bottom w:w="100" w:type="dxa"/>
              <w:right w:w="150" w:type="dxa"/>
            </w:tcMar>
          </w:tcPr>
          <w:p w14:paraId="379E370E" w14:textId="77777777" w:rsidR="006F2AB4" w:rsidRDefault="002C6E1D">
            <w:pPr>
              <w:spacing w:before="60" w:after="60"/>
            </w:pPr>
            <w:r>
              <w:rPr>
                <w:b/>
                <w:bCs/>
                <w:color w:val="FFFFFF"/>
                <w:sz w:val="18"/>
                <w:szCs w:val="18"/>
              </w:rPr>
              <w:t>Preis pro Dosis (ohne MwSt.)</w:t>
            </w:r>
          </w:p>
        </w:tc>
      </w:tr>
      <w:tr w:rsidR="006F2AB4" w14:paraId="587352DE" w14:textId="77777777">
        <w:tblPrEx>
          <w:tblCellMar>
            <w:top w:w="0" w:type="dxa"/>
            <w:bottom w:w="0" w:type="dxa"/>
          </w:tblCellMar>
        </w:tblPrEx>
        <w:tc>
          <w:tcPr>
            <w:tcW w:w="504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50" w:type="dxa"/>
              <w:bottom w:w="100" w:type="dxa"/>
              <w:right w:w="150" w:type="dxa"/>
            </w:tcMar>
          </w:tcPr>
          <w:p w14:paraId="2678FBA6" w14:textId="77777777" w:rsidR="006F2AB4" w:rsidRDefault="002C6E1D">
            <w:pPr>
              <w:spacing w:before="60" w:after="60"/>
            </w:pPr>
            <w:r>
              <w:rPr>
                <w:color w:val="1A1A1A"/>
                <w:sz w:val="18"/>
                <w:szCs w:val="18"/>
              </w:rPr>
              <w:t>1–100 Millionen Dosen</w:t>
            </w:r>
          </w:p>
        </w:tc>
        <w:tc>
          <w:tcPr>
            <w:tcW w:w="504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50" w:type="dxa"/>
              <w:bottom w:w="100" w:type="dxa"/>
              <w:right w:w="150" w:type="dxa"/>
            </w:tcMar>
          </w:tcPr>
          <w:p w14:paraId="0A5ACCE6" w14:textId="77777777" w:rsidR="006F2AB4" w:rsidRDefault="002C6E1D">
            <w:pPr>
              <w:spacing w:before="60" w:after="60"/>
            </w:pPr>
            <w:r>
              <w:rPr>
                <w:color w:val="1A1A1A"/>
                <w:sz w:val="18"/>
                <w:szCs w:val="18"/>
              </w:rPr>
              <w:t>17,50 €</w:t>
            </w:r>
          </w:p>
        </w:tc>
      </w:tr>
      <w:tr w:rsidR="006F2AB4" w14:paraId="149D5ECC" w14:textId="77777777">
        <w:tblPrEx>
          <w:tblCellMar>
            <w:top w:w="0" w:type="dxa"/>
            <w:bottom w:w="0" w:type="dxa"/>
          </w:tblCellMar>
        </w:tblPrEx>
        <w:tc>
          <w:tcPr>
            <w:tcW w:w="504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5B3EFB25" w14:textId="77777777" w:rsidR="006F2AB4" w:rsidRDefault="002C6E1D">
            <w:pPr>
              <w:spacing w:before="60" w:after="60"/>
            </w:pPr>
            <w:r>
              <w:rPr>
                <w:color w:val="1A1A1A"/>
                <w:sz w:val="18"/>
                <w:szCs w:val="18"/>
              </w:rPr>
              <w:t>101–200 Millionen Dosen</w:t>
            </w:r>
          </w:p>
        </w:tc>
        <w:tc>
          <w:tcPr>
            <w:tcW w:w="504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1A3594E2" w14:textId="77777777" w:rsidR="006F2AB4" w:rsidRDefault="002C6E1D">
            <w:pPr>
              <w:spacing w:before="60" w:after="60"/>
            </w:pPr>
            <w:r>
              <w:rPr>
                <w:color w:val="1A1A1A"/>
                <w:sz w:val="18"/>
                <w:szCs w:val="18"/>
              </w:rPr>
              <w:t>13,50</w:t>
            </w:r>
          </w:p>
        </w:tc>
      </w:tr>
      <w:tr w:rsidR="006F2AB4" w14:paraId="36C2106F" w14:textId="77777777">
        <w:tblPrEx>
          <w:tblCellMar>
            <w:top w:w="0" w:type="dxa"/>
            <w:bottom w:w="0" w:type="dxa"/>
          </w:tblCellMar>
        </w:tblPrEx>
        <w:tc>
          <w:tcPr>
            <w:tcW w:w="504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50" w:type="dxa"/>
              <w:bottom w:w="100" w:type="dxa"/>
              <w:right w:w="150" w:type="dxa"/>
            </w:tcMar>
          </w:tcPr>
          <w:p w14:paraId="744A7087" w14:textId="77777777" w:rsidR="006F2AB4" w:rsidRDefault="002C6E1D">
            <w:pPr>
              <w:spacing w:before="60" w:after="60"/>
            </w:pPr>
            <w:r>
              <w:rPr>
                <w:color w:val="1A1A1A"/>
                <w:sz w:val="18"/>
                <w:szCs w:val="18"/>
              </w:rPr>
              <w:t>Durchschnitt (200 Mio. Dosen)</w:t>
            </w:r>
          </w:p>
        </w:tc>
        <w:tc>
          <w:tcPr>
            <w:tcW w:w="504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50" w:type="dxa"/>
              <w:bottom w:w="100" w:type="dxa"/>
              <w:right w:w="150" w:type="dxa"/>
            </w:tcMar>
          </w:tcPr>
          <w:p w14:paraId="66CBE2A0" w14:textId="77777777" w:rsidR="006F2AB4" w:rsidRDefault="002C6E1D">
            <w:pPr>
              <w:spacing w:before="60" w:after="60"/>
            </w:pPr>
            <w:r>
              <w:rPr>
                <w:color w:val="1A1A1A"/>
                <w:sz w:val="18"/>
                <w:szCs w:val="18"/>
              </w:rPr>
              <w:t>15,50</w:t>
            </w:r>
          </w:p>
        </w:tc>
      </w:tr>
      <w:tr w:rsidR="006F2AB4" w14:paraId="0D94F6B3" w14:textId="77777777">
        <w:tblPrEx>
          <w:tblCellMar>
            <w:top w:w="0" w:type="dxa"/>
            <w:bottom w:w="0" w:type="dxa"/>
          </w:tblCellMar>
        </w:tblPrEx>
        <w:tc>
          <w:tcPr>
            <w:tcW w:w="504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4DFD32E9" w14:textId="77777777" w:rsidR="006F2AB4" w:rsidRDefault="002C6E1D">
            <w:pPr>
              <w:spacing w:before="60" w:after="60"/>
            </w:pPr>
            <w:r>
              <w:rPr>
                <w:color w:val="1A1A1A"/>
                <w:sz w:val="18"/>
                <w:szCs w:val="18"/>
              </w:rPr>
              <w:lastRenderedPageBreak/>
              <w:t>Zusatzbestellung (≤ 3 Monate nach Zulassung)</w:t>
            </w:r>
          </w:p>
        </w:tc>
        <w:tc>
          <w:tcPr>
            <w:tcW w:w="504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05970484" w14:textId="77777777" w:rsidR="006F2AB4" w:rsidRDefault="002C6E1D">
            <w:pPr>
              <w:spacing w:before="60" w:after="60"/>
            </w:pPr>
            <w:r>
              <w:rPr>
                <w:color w:val="1A1A1A"/>
                <w:sz w:val="18"/>
                <w:szCs w:val="18"/>
              </w:rPr>
              <w:t>15,50 €</w:t>
            </w:r>
          </w:p>
        </w:tc>
      </w:tr>
      <w:tr w:rsidR="006F2AB4" w14:paraId="34B83C6B" w14:textId="77777777">
        <w:tblPrEx>
          <w:tblCellMar>
            <w:top w:w="0" w:type="dxa"/>
            <w:bottom w:w="0" w:type="dxa"/>
          </w:tblCellMar>
        </w:tblPrEx>
        <w:tc>
          <w:tcPr>
            <w:tcW w:w="504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50" w:type="dxa"/>
              <w:bottom w:w="100" w:type="dxa"/>
              <w:right w:w="150" w:type="dxa"/>
            </w:tcMar>
          </w:tcPr>
          <w:p w14:paraId="26C8F417" w14:textId="77777777" w:rsidR="006F2AB4" w:rsidRDefault="002C6E1D">
            <w:pPr>
              <w:spacing w:before="60" w:after="60"/>
            </w:pPr>
            <w:r>
              <w:rPr>
                <w:color w:val="1A1A1A"/>
                <w:sz w:val="18"/>
                <w:szCs w:val="18"/>
              </w:rPr>
              <w:t>Zusatzbestellung (danach)</w:t>
            </w:r>
          </w:p>
        </w:tc>
        <w:tc>
          <w:tcPr>
            <w:tcW w:w="504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50" w:type="dxa"/>
              <w:bottom w:w="100" w:type="dxa"/>
              <w:right w:w="150" w:type="dxa"/>
            </w:tcMar>
          </w:tcPr>
          <w:p w14:paraId="0648DFA4" w14:textId="77777777" w:rsidR="006F2AB4" w:rsidRDefault="002C6E1D">
            <w:pPr>
              <w:spacing w:before="60" w:after="60"/>
            </w:pPr>
            <w:r>
              <w:rPr>
                <w:color w:val="1A1A1A"/>
                <w:sz w:val="18"/>
                <w:szCs w:val="18"/>
              </w:rPr>
              <w:t>17,50 €</w:t>
            </w:r>
          </w:p>
        </w:tc>
      </w:tr>
    </w:tbl>
    <w:p w14:paraId="1AF2A44C" w14:textId="77777777" w:rsidR="006F2AB4" w:rsidRDefault="006F2AB4">
      <w:pPr>
        <w:spacing w:after="40"/>
      </w:pPr>
    </w:p>
    <w:p w14:paraId="6995BFC3" w14:textId="77777777" w:rsidR="006F2AB4" w:rsidRDefault="002C6E1D">
      <w:pPr>
        <w:spacing w:before="60" w:after="60" w:line="288" w:lineRule="auto"/>
        <w:jc w:val="both"/>
      </w:pPr>
      <w:r>
        <w:rPr>
          <w:color w:val="1A1A1A"/>
        </w:rPr>
        <w:t>Vorauszahlung: 700 Millionen Euro (3,50 Euro × 200 Millionen Dosen), zahlbar innerhalb von 20 Werktagen nach Unterzeichnung – noch bevor Dosen geliefert wurden und noch bevor die Zulassung erteilt wurde. Zahlbar an das Euro-Konto von Pfizer Inc. bei der Citibank in Dublin, Irland.</w:t>
      </w:r>
    </w:p>
    <w:p w14:paraId="30EA98F9" w14:textId="77777777" w:rsidR="006F2AB4" w:rsidRDefault="002C6E1D">
      <w:pPr>
        <w:pStyle w:val="berschrift2"/>
      </w:pPr>
      <w:r>
        <w:t>5.4 Haftungsübertragung</w:t>
      </w:r>
    </w:p>
    <w:p w14:paraId="32FB48F9" w14:textId="77777777" w:rsidR="006F2AB4" w:rsidRDefault="002C6E1D">
      <w:pPr>
        <w:spacing w:before="60" w:after="60" w:line="288" w:lineRule="auto"/>
        <w:jc w:val="both"/>
      </w:pPr>
      <w:r>
        <w:rPr>
          <w:color w:val="1A1A1A"/>
        </w:rPr>
        <w:t>Beide Verträge übertrugen die gesamte Haftung für unerwünschte Ereignisse von den Herstellern auf die Mitgliedstaaten und letztlich auf die Bürger. Die Unternehmen wurden von jeglicher Haftung freigestellt, die sich aus der Verwendung und dem Einsatz der Impfstoffe ergibt. Diese Bestimmung wurde aus den öffentlich veröffentlichten Fassungen gestrichen.</w:t>
      </w:r>
    </w:p>
    <w:p w14:paraId="6D2B3AFE" w14:textId="77777777" w:rsidR="006F2AB4" w:rsidRDefault="002C6E1D">
      <w:pPr>
        <w:pStyle w:val="berschrift2"/>
      </w:pPr>
      <w:r>
        <w:t>5.5 Geistiges Eigentum</w:t>
      </w:r>
    </w:p>
    <w:p w14:paraId="2E830781" w14:textId="77777777" w:rsidR="006F2AB4" w:rsidRDefault="002C6E1D">
      <w:pPr>
        <w:spacing w:before="60" w:after="60" w:line="288" w:lineRule="auto"/>
        <w:jc w:val="both"/>
      </w:pPr>
      <w:r>
        <w:rPr>
          <w:color w:val="1A1A1A"/>
        </w:rPr>
        <w:t>Beide Verträge gewähren Pfizer und Moderna das alleinige Eigentumsrecht an sämtlichem geistigen Eigentum, das während der Entwicklung entstanden ist – geistiges Eigentum, das im Wesentlichen durch Vorauszahlungen der EU-Steuerzahler finanziert wurde. Dies steht in direktem Zusammenhang mit Merkels Blockade der TRIPS-Ausnahmeregelung, die es anderen Herstellern ermöglicht hätte, Impfstoffe unter Nutzung dieses geistigen Eigentums ohne Lizenzbeschränkungen herzustellen.</w:t>
      </w:r>
    </w:p>
    <w:p w14:paraId="73C3A29F" w14:textId="77777777" w:rsidR="006F2AB4" w:rsidRDefault="006F2AB4">
      <w:pPr>
        <w:spacing w:after="120"/>
      </w:pPr>
    </w:p>
    <w:p w14:paraId="3342A7E5" w14:textId="77777777" w:rsidR="006F2AB4" w:rsidRDefault="002C6E1D">
      <w:pPr>
        <w:pStyle w:val="berschrift1"/>
        <w:pBdr>
          <w:bottom w:val="single" w:sz="8" w:space="4" w:color="1A1A2E"/>
        </w:pBdr>
      </w:pPr>
      <w:r>
        <w:t>6. Sicherheitsdaten – Was war wann bekannt?</w:t>
      </w:r>
    </w:p>
    <w:p w14:paraId="1F2FD908" w14:textId="77777777" w:rsidR="006F2AB4" w:rsidRDefault="002C6E1D">
      <w:pPr>
        <w:pStyle w:val="berschrift2"/>
      </w:pPr>
      <w:r>
        <w:t>6.1 Unerwünschte Ereignisse nach der Markteinführung (Pfizer 5.3.6)</w:t>
      </w:r>
    </w:p>
    <w:p w14:paraId="09A5BD69" w14:textId="77777777" w:rsidR="006F2AB4" w:rsidRDefault="002C6E1D">
      <w:pPr>
        <w:spacing w:before="60" w:after="60" w:line="288" w:lineRule="auto"/>
        <w:jc w:val="both"/>
      </w:pPr>
      <w:r>
        <w:rPr>
          <w:color w:val="1A1A1A"/>
        </w:rPr>
        <w:t>Innerhalb von 90 Tagen nach der Einführung des Impfstoffs hatte Pfizer einen internen Bericht zur Überwachung nach der Markteinführung erstellt, in dem 1.291 Kategorien von unerwünschten Ereignissen von besonderem Interesse in 42.086 Fallberichten identifiziert wurden. Dieses Dokument – bekannt als der 5.3.6-Bericht – wurde der FDA im Rahmen des laufenden Zulassungsverfahrens vorgelegt.</w:t>
      </w:r>
    </w:p>
    <w:p w14:paraId="36600CC8" w14:textId="77777777" w:rsidR="006F2AB4" w:rsidRDefault="002C6E1D">
      <w:pPr>
        <w:spacing w:before="60" w:after="60" w:line="288" w:lineRule="auto"/>
        <w:jc w:val="both"/>
      </w:pPr>
      <w:r>
        <w:rPr>
          <w:color w:val="1A1A1A"/>
        </w:rPr>
        <w:t>Die FDA reagierte darauf mit der Forderung, das Dokument 75 Jahre lang der Öffentlichkeit vorzuenthalten. Nicht fünf Jahre. Nicht zehn. Fünfundsiebzig. Ein Bundesgericht widersprach dem und ordnete eine frühere Offenlegung an. Das Dokument ist nun öffentlich zugänglich.</w:t>
      </w:r>
    </w:p>
    <w:p w14:paraId="1DD731DF" w14:textId="77777777" w:rsidR="006F2AB4" w:rsidRDefault="002C6E1D">
      <w:pPr>
        <w:spacing w:before="60" w:after="60" w:line="288" w:lineRule="auto"/>
        <w:jc w:val="both"/>
      </w:pPr>
      <w:r>
        <w:rPr>
          <w:color w:val="1A1A1A"/>
        </w:rPr>
        <w:t>Lies das noch einmal in verständlicher Sprache: Innerhalb von drei Monaten nach Beginn der Massenimpfung hatte Pfizers eigene Überwachung über 42.000 Fallberichte zu fast 1.300 Kategorien von unerwünschten Ereignissen generiert – und die Aufsichtsbehörde, die eigentlich die Öffentlichkeit schützen soll, forderte, dass diese Informationen so lange unter Verschluss gehalten werden, bis alle heute lebenden Menschen gestorben sind.</w:t>
      </w:r>
    </w:p>
    <w:p w14:paraId="63A0E9FD" w14:textId="77777777" w:rsidR="006F2AB4" w:rsidRDefault="002C6E1D">
      <w:pPr>
        <w:spacing w:before="60" w:after="60" w:line="288" w:lineRule="auto"/>
        <w:jc w:val="both"/>
      </w:pPr>
      <w:r>
        <w:rPr>
          <w:color w:val="1A1A1A"/>
        </w:rPr>
        <w:t>Im selben Zeitraum versicherten die Regierungen von 27 EU-Mitgliedstaaten ihren Bürgern öffentlich, dass die Impfstoffe sicher und wirksam seien. Genau diese Regierungen hatten bereits Verträge unterzeichnet, die Pfizer von der Haftung für genau jene unerwünschten Ereignisse freistellten, die nun katalogisiert werden. Die Bürger hatten keinen Zugang zu den 5.3.6-Daten. Sie hatten im Rahmen der Verträge keine rechtlichen Mittel. Sie hatten keine Möglichkeit zu erfahren, dass das empfohlene – und in der Praxi</w:t>
      </w:r>
      <w:r>
        <w:rPr>
          <w:color w:val="1A1A1A"/>
        </w:rPr>
        <w:t>s aufgezwungene – Produkt bereits ein Sicherheitssignal ausgelöst hatte, das der Hersteller und die Aufsichtsbehörde gemeinsam zu verbergen vereinbart hatten.</w:t>
      </w:r>
    </w:p>
    <w:p w14:paraId="2F3D6EAB" w14:textId="77777777" w:rsidR="006F2AB4" w:rsidRDefault="002C6E1D">
      <w:pPr>
        <w:spacing w:before="40" w:after="100"/>
        <w:ind w:left="360"/>
      </w:pPr>
      <w:r>
        <w:rPr>
          <w:i/>
          <w:iCs/>
          <w:color w:val="555555"/>
          <w:sz w:val="17"/>
          <w:szCs w:val="17"/>
        </w:rPr>
        <w:t>Quelle: Pfizer-Dokument 5.3.6 – Erfahrungen nach der Markteinführung (Projektdatei: 5_3_6postmarketingexperience.pdf)</w:t>
      </w:r>
    </w:p>
    <w:p w14:paraId="62CB7534" w14:textId="77777777" w:rsidR="006F2AB4" w:rsidRDefault="002C6E1D">
      <w:pPr>
        <w:pStyle w:val="berschrift2"/>
      </w:pPr>
      <w:r>
        <w:t>6.2 Arbeitssicherheit – Comirnaty-Sicherheitsdatenblatt</w:t>
      </w:r>
    </w:p>
    <w:p w14:paraId="325C38FD" w14:textId="77777777" w:rsidR="006F2AB4" w:rsidRDefault="002C6E1D">
      <w:pPr>
        <w:spacing w:before="60" w:after="60" w:line="288" w:lineRule="auto"/>
        <w:jc w:val="both"/>
      </w:pPr>
      <w:r>
        <w:rPr>
          <w:color w:val="1A1A1A"/>
        </w:rPr>
        <w:lastRenderedPageBreak/>
        <w:t>Das Comirnaty-Sicherheitsdatenblatt stuft den Stoff in die Gefahrenklasse OEB5 ein – die höchste Gefahrenklasse für berufliche Exposition. Die toxikologischen Eigenschaften werden als „nicht gründlich untersucht“ beschrieben. Das Dokument legt Anforderungen an Atemschutz, Ganzkörper-Schutzkleidung und Augenschutz beim Umgang mit dem Stoff fest.</w:t>
      </w:r>
    </w:p>
    <w:p w14:paraId="1703075F" w14:textId="77777777" w:rsidR="006F2AB4" w:rsidRDefault="002C6E1D">
      <w:pPr>
        <w:spacing w:before="60" w:after="60" w:line="288" w:lineRule="auto"/>
        <w:jc w:val="both"/>
      </w:pPr>
      <w:r>
        <w:rPr>
          <w:color w:val="1A1A1A"/>
        </w:rPr>
        <w:t>Dieses Dokument wurde nicht, wie vom Arbeitsschutzgesetz vorgeschrieben, proaktiv an das verabreichende medizinische Personal verteilt. Links, über die es heruntergeladen werden konnte, wurden unkenntlich gemacht. BioNTech schien nicht in der Lage zu sein, das Dokument auf Anfrage des deutschen Bundesgesundheitsministeriums umgehend ausfindig zu machen.</w:t>
      </w:r>
    </w:p>
    <w:p w14:paraId="6A3E8999" w14:textId="77777777" w:rsidR="006F2AB4" w:rsidRDefault="002C6E1D">
      <w:pPr>
        <w:spacing w:before="40" w:after="100"/>
        <w:ind w:left="360"/>
      </w:pPr>
      <w:r>
        <w:rPr>
          <w:i/>
          <w:iCs/>
          <w:color w:val="555555"/>
          <w:sz w:val="17"/>
          <w:szCs w:val="17"/>
        </w:rPr>
        <w:t>Quelle: Pfizer-BioNTech Sicherheitsdatenblatt, Version 2.01, 13. Mai 2022 (Projektakte); Schriftwechsel mit dem Bundesgesundheitsministerium (Projektakte)</w:t>
      </w:r>
    </w:p>
    <w:p w14:paraId="7C31945C" w14:textId="77777777" w:rsidR="006F2AB4" w:rsidRDefault="002C6E1D">
      <w:pPr>
        <w:pStyle w:val="berschrift2"/>
      </w:pPr>
      <w:r>
        <w:t>6.3 Bestätigung der EMA zur Weitergabe</w:t>
      </w:r>
    </w:p>
    <w:p w14:paraId="15158F33" w14:textId="77777777" w:rsidR="006F2AB4" w:rsidRDefault="002C6E1D">
      <w:pPr>
        <w:spacing w:before="60" w:after="60" w:line="288" w:lineRule="auto"/>
        <w:jc w:val="both"/>
      </w:pPr>
      <w:r>
        <w:rPr>
          <w:color w:val="1A1A1A"/>
        </w:rPr>
        <w:t>Im Oktober 2023 antwortete die Europäische Arzneimittelagentur schriftlich auf die Anfrage der Europaabgeordneten Marcel de Graaff, Gilbert Collard, Francesca Donato, Joachim Kuhs, Mislav Kolakušić, Virginie Joron, Ivan Vilibor Sinčić und Bernhard Zimniok und bestätigte, dass COVID-19-Impfstoffe „nicht zur Verhinderung der Übertragung von einer Person auf eine andere zugelassen wurden“. Die zugelassene Indikation ist ausschließlich der Schutz der geimpften Person.</w:t>
      </w:r>
    </w:p>
    <w:p w14:paraId="77236214" w14:textId="77777777" w:rsidR="006F2AB4" w:rsidRDefault="002C6E1D">
      <w:pPr>
        <w:spacing w:before="60" w:after="60" w:line="288" w:lineRule="auto"/>
        <w:jc w:val="both"/>
      </w:pPr>
      <w:r>
        <w:rPr>
          <w:color w:val="1A1A1A"/>
        </w:rPr>
        <w:t>Die Verhinderung der Übertragung war die angegebene Begründung für Impfpässe und Zugangsbeschränkungen, die in ganz Europa faktisch eine Impfung erzwangen, ohne dass es dafür eine formelle Verpflichtung gab. Die Bestätigung der EMA bedeutet, dass diesen Beschränkungen die wissenschaftliche Grundlage fehlte, mit der sie öffentlich gerechtfertigt wurden.</w:t>
      </w:r>
    </w:p>
    <w:p w14:paraId="23768F34" w14:textId="77777777" w:rsidR="006F2AB4" w:rsidRDefault="002C6E1D">
      <w:pPr>
        <w:spacing w:before="40" w:after="100"/>
        <w:ind w:left="360"/>
      </w:pPr>
      <w:r>
        <w:rPr>
          <w:i/>
          <w:iCs/>
          <w:color w:val="555555"/>
          <w:sz w:val="17"/>
          <w:szCs w:val="17"/>
        </w:rPr>
        <w:t>Quelle: Schreiben der EMA an den Europaabgeordneten Marcel de Graaff et al., 18. Oktober 2023, EMA/451828/2023 (Projektdatei: 2023_10_18_Letter_to_MEP_Marcel_de_Graaff_Request_for_the_direct.pdf)</w:t>
      </w:r>
    </w:p>
    <w:p w14:paraId="16609423" w14:textId="77777777" w:rsidR="006F2AB4" w:rsidRDefault="006F2AB4">
      <w:pPr>
        <w:spacing w:after="120"/>
      </w:pPr>
    </w:p>
    <w:p w14:paraId="121FB8D1" w14:textId="77777777" w:rsidR="006F2AB4" w:rsidRDefault="002C6E1D">
      <w:pPr>
        <w:pStyle w:val="berschrift1"/>
        <w:pBdr>
          <w:bottom w:val="single" w:sz="8" w:space="4" w:color="1A1A2E"/>
        </w:pBdr>
      </w:pPr>
      <w:r>
        <w:t>7. Zwang ohne gesetzliche Grundlage</w:t>
      </w:r>
    </w:p>
    <w:p w14:paraId="6601E2F2" w14:textId="77777777" w:rsidR="006F2AB4" w:rsidRDefault="002C6E1D">
      <w:pPr>
        <w:spacing w:before="60" w:after="60" w:line="288" w:lineRule="auto"/>
        <w:jc w:val="both"/>
      </w:pPr>
      <w:r>
        <w:rPr>
          <w:color w:val="1A1A1A"/>
        </w:rPr>
        <w:t>Formelle Impfpflichten wurden in Deutschland im Rahmen demokratischer Verfahren abgelehnt – der Bundestag stimmte am 7. April 2022 gegen eine Impfpflicht (der ursprüngliche Antrag wurde mit 378 zu 296 Stimmen abgelehnt). Das gleiche Ergebnis wurde europaweit durch einen einheitlichen Mechanismus vermieden oder umgangen: Zugangsbeschränkungen, die durch Maßnahmen der Exekutive umgesetzt wurden, ohne die parlamentarische Kontrolle, die formelle Vorschriften erfordert hätten.</w:t>
      </w:r>
    </w:p>
    <w:p w14:paraId="716C4084" w14:textId="77777777" w:rsidR="006F2AB4" w:rsidRDefault="002C6E1D">
      <w:pPr>
        <w:spacing w:before="60" w:after="60" w:line="288" w:lineRule="auto"/>
        <w:jc w:val="both"/>
      </w:pPr>
      <w:r>
        <w:rPr>
          <w:color w:val="1A1A1A"/>
        </w:rPr>
        <w:t>Deutschlands gestaffeltes System der Zugangsbeschränkungen (2G/3G-Regeln):</w:t>
      </w:r>
    </w:p>
    <w:p w14:paraId="60F409A7" w14:textId="77777777" w:rsidR="006F2AB4" w:rsidRDefault="006F2AB4">
      <w:pPr>
        <w:spacing w:after="4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3500"/>
        <w:gridCol w:w="4580"/>
      </w:tblGrid>
      <w:tr w:rsidR="006F2AB4" w14:paraId="57B432F0" w14:textId="77777777">
        <w:tblPrEx>
          <w:tblCellMar>
            <w:top w:w="0" w:type="dxa"/>
            <w:bottom w:w="0" w:type="dxa"/>
          </w:tblCellMar>
        </w:tblPrEx>
        <w:trPr>
          <w:tblHeader/>
        </w:trPr>
        <w:tc>
          <w:tcPr>
            <w:tcW w:w="2000" w:type="dxa"/>
            <w:tcBorders>
              <w:top w:val="single" w:sz="1" w:space="0" w:color="CCCCCC"/>
              <w:left w:val="single" w:sz="1" w:space="0" w:color="CCCCCC"/>
              <w:bottom w:val="single" w:sz="1" w:space="0" w:color="CCCCCC"/>
              <w:right w:val="single" w:sz="1" w:space="0" w:color="CCCCCC"/>
            </w:tcBorders>
            <w:shd w:val="clear" w:color="auto" w:fill="1A1A2E"/>
            <w:tcMar>
              <w:top w:w="100" w:type="dxa"/>
              <w:left w:w="150" w:type="dxa"/>
              <w:bottom w:w="100" w:type="dxa"/>
              <w:right w:w="150" w:type="dxa"/>
            </w:tcMar>
          </w:tcPr>
          <w:p w14:paraId="0D2335B2" w14:textId="77777777" w:rsidR="006F2AB4" w:rsidRDefault="002C6E1D">
            <w:pPr>
              <w:spacing w:before="60" w:after="60"/>
            </w:pPr>
            <w:r>
              <w:rPr>
                <w:b/>
                <w:bCs/>
                <w:color w:val="FFFFFF"/>
                <w:sz w:val="18"/>
                <w:szCs w:val="18"/>
              </w:rPr>
              <w:t>Regelung</w:t>
            </w:r>
          </w:p>
        </w:tc>
        <w:tc>
          <w:tcPr>
            <w:tcW w:w="3500" w:type="dxa"/>
            <w:tcBorders>
              <w:top w:val="single" w:sz="1" w:space="0" w:color="CCCCCC"/>
              <w:left w:val="single" w:sz="1" w:space="0" w:color="CCCCCC"/>
              <w:bottom w:val="single" w:sz="1" w:space="0" w:color="CCCCCC"/>
              <w:right w:val="single" w:sz="1" w:space="0" w:color="CCCCCC"/>
            </w:tcBorders>
            <w:shd w:val="clear" w:color="auto" w:fill="1A1A2E"/>
            <w:tcMar>
              <w:top w:w="100" w:type="dxa"/>
              <w:left w:w="150" w:type="dxa"/>
              <w:bottom w:w="100" w:type="dxa"/>
              <w:right w:w="150" w:type="dxa"/>
            </w:tcMar>
          </w:tcPr>
          <w:p w14:paraId="1ACFA1F7" w14:textId="77777777" w:rsidR="006F2AB4" w:rsidRDefault="002C6E1D">
            <w:pPr>
              <w:spacing w:before="60" w:after="60"/>
            </w:pPr>
            <w:r>
              <w:rPr>
                <w:b/>
                <w:bCs/>
                <w:color w:val="FFFFFF"/>
                <w:sz w:val="18"/>
                <w:szCs w:val="18"/>
              </w:rPr>
              <w:t>Wer war berechtigt</w:t>
            </w:r>
          </w:p>
        </w:tc>
        <w:tc>
          <w:tcPr>
            <w:tcW w:w="4580" w:type="dxa"/>
            <w:tcBorders>
              <w:top w:val="single" w:sz="1" w:space="0" w:color="CCCCCC"/>
              <w:left w:val="single" w:sz="1" w:space="0" w:color="CCCCCC"/>
              <w:bottom w:val="single" w:sz="1" w:space="0" w:color="CCCCCC"/>
              <w:right w:val="single" w:sz="1" w:space="0" w:color="CCCCCC"/>
            </w:tcBorders>
            <w:shd w:val="clear" w:color="auto" w:fill="1A1A2E"/>
            <w:tcMar>
              <w:top w:w="100" w:type="dxa"/>
              <w:left w:w="150" w:type="dxa"/>
              <w:bottom w:w="100" w:type="dxa"/>
              <w:right w:w="150" w:type="dxa"/>
            </w:tcMar>
          </w:tcPr>
          <w:p w14:paraId="2A855254" w14:textId="77777777" w:rsidR="006F2AB4" w:rsidRDefault="002C6E1D">
            <w:pPr>
              <w:spacing w:before="60" w:after="60"/>
            </w:pPr>
            <w:r>
              <w:rPr>
                <w:b/>
                <w:bCs/>
                <w:color w:val="FFFFFF"/>
                <w:sz w:val="18"/>
                <w:szCs w:val="18"/>
              </w:rPr>
              <w:t>Wo angewendet</w:t>
            </w:r>
          </w:p>
        </w:tc>
      </w:tr>
      <w:tr w:rsidR="006F2AB4" w14:paraId="2E9F4689"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50" w:type="dxa"/>
              <w:bottom w:w="100" w:type="dxa"/>
              <w:right w:w="150" w:type="dxa"/>
            </w:tcMar>
          </w:tcPr>
          <w:p w14:paraId="3712F389" w14:textId="77777777" w:rsidR="006F2AB4" w:rsidRDefault="002C6E1D">
            <w:pPr>
              <w:spacing w:before="60" w:after="60"/>
            </w:pPr>
            <w:r>
              <w:rPr>
                <w:color w:val="1A1A1A"/>
                <w:sz w:val="18"/>
                <w:szCs w:val="18"/>
              </w:rPr>
              <w:t>3G</w:t>
            </w:r>
          </w:p>
        </w:tc>
        <w:tc>
          <w:tcPr>
            <w:tcW w:w="350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50" w:type="dxa"/>
              <w:bottom w:w="100" w:type="dxa"/>
              <w:right w:w="150" w:type="dxa"/>
            </w:tcMar>
          </w:tcPr>
          <w:p w14:paraId="6D159A25" w14:textId="77777777" w:rsidR="006F2AB4" w:rsidRDefault="002C6E1D">
            <w:pPr>
              <w:spacing w:before="60" w:after="60"/>
            </w:pPr>
            <w:r>
              <w:rPr>
                <w:color w:val="1A1A1A"/>
                <w:sz w:val="18"/>
                <w:szCs w:val="18"/>
              </w:rPr>
              <w:t>Geimpfte, Genesene oder Getestete</w:t>
            </w:r>
          </w:p>
        </w:tc>
        <w:tc>
          <w:tcPr>
            <w:tcW w:w="458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50" w:type="dxa"/>
              <w:bottom w:w="100" w:type="dxa"/>
              <w:right w:w="150" w:type="dxa"/>
            </w:tcMar>
          </w:tcPr>
          <w:p w14:paraId="70C7734D" w14:textId="77777777" w:rsidR="006F2AB4" w:rsidRDefault="002C6E1D">
            <w:pPr>
              <w:spacing w:before="60" w:after="60"/>
            </w:pPr>
            <w:r>
              <w:rPr>
                <w:color w:val="1A1A1A"/>
                <w:sz w:val="18"/>
                <w:szCs w:val="18"/>
              </w:rPr>
              <w:t>Arbeitsplätze und öffentliche Verkehrsmittel</w:t>
            </w:r>
          </w:p>
        </w:tc>
      </w:tr>
      <w:tr w:rsidR="006F2AB4" w14:paraId="1443893F"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2F61CF76" w14:textId="77777777" w:rsidR="006F2AB4" w:rsidRDefault="002C6E1D">
            <w:pPr>
              <w:spacing w:before="60" w:after="60"/>
            </w:pPr>
            <w:r>
              <w:rPr>
                <w:color w:val="1A1A1A"/>
                <w:sz w:val="18"/>
                <w:szCs w:val="18"/>
              </w:rPr>
              <w:t>2G</w:t>
            </w:r>
          </w:p>
        </w:tc>
        <w:tc>
          <w:tcPr>
            <w:tcW w:w="350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5660A59A" w14:textId="77777777" w:rsidR="006F2AB4" w:rsidRDefault="002C6E1D">
            <w:pPr>
              <w:spacing w:before="60" w:after="60"/>
            </w:pPr>
            <w:r>
              <w:rPr>
                <w:color w:val="1A1A1A"/>
                <w:sz w:val="18"/>
                <w:szCs w:val="18"/>
              </w:rPr>
              <w:t>Nur geimpft oder genesen – KEINE Testalternative</w:t>
            </w:r>
          </w:p>
        </w:tc>
        <w:tc>
          <w:tcPr>
            <w:tcW w:w="458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54BDE693" w14:textId="77777777" w:rsidR="006F2AB4" w:rsidRDefault="002C6E1D">
            <w:pPr>
              <w:spacing w:before="60" w:after="60"/>
            </w:pPr>
            <w:r>
              <w:rPr>
                <w:color w:val="1A1A1A"/>
                <w:sz w:val="18"/>
                <w:szCs w:val="18"/>
              </w:rPr>
              <w:t>Bars, Restaurants, Kinos, Museen, Veranstaltungen</w:t>
            </w:r>
          </w:p>
        </w:tc>
      </w:tr>
      <w:tr w:rsidR="006F2AB4" w14:paraId="1FE7FF5C"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50" w:type="dxa"/>
              <w:bottom w:w="100" w:type="dxa"/>
              <w:right w:w="150" w:type="dxa"/>
            </w:tcMar>
          </w:tcPr>
          <w:p w14:paraId="7DF4E251" w14:textId="77777777" w:rsidR="006F2AB4" w:rsidRDefault="002C6E1D">
            <w:pPr>
              <w:spacing w:before="60" w:after="60"/>
            </w:pPr>
            <w:r>
              <w:rPr>
                <w:color w:val="1A1A1A"/>
                <w:sz w:val="18"/>
                <w:szCs w:val="18"/>
              </w:rPr>
              <w:t>2G+</w:t>
            </w:r>
          </w:p>
        </w:tc>
        <w:tc>
          <w:tcPr>
            <w:tcW w:w="350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50" w:type="dxa"/>
              <w:bottom w:w="100" w:type="dxa"/>
              <w:right w:w="150" w:type="dxa"/>
            </w:tcMar>
          </w:tcPr>
          <w:p w14:paraId="369B329D" w14:textId="77777777" w:rsidR="006F2AB4" w:rsidRDefault="002C6E1D">
            <w:pPr>
              <w:spacing w:before="60" w:after="60"/>
            </w:pPr>
            <w:r>
              <w:rPr>
                <w:color w:val="1A1A1A"/>
                <w:sz w:val="18"/>
                <w:szCs w:val="18"/>
              </w:rPr>
              <w:t>Geimpft/genesen + PCR-Test</w:t>
            </w:r>
          </w:p>
        </w:tc>
        <w:tc>
          <w:tcPr>
            <w:tcW w:w="458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50" w:type="dxa"/>
              <w:bottom w:w="100" w:type="dxa"/>
              <w:right w:w="150" w:type="dxa"/>
            </w:tcMar>
          </w:tcPr>
          <w:p w14:paraId="7AF18E2B" w14:textId="77777777" w:rsidR="006F2AB4" w:rsidRDefault="002C6E1D">
            <w:pPr>
              <w:spacing w:before="60" w:after="60"/>
            </w:pPr>
            <w:r>
              <w:rPr>
                <w:color w:val="1A1A1A"/>
                <w:sz w:val="18"/>
                <w:szCs w:val="18"/>
              </w:rPr>
              <w:t>Bundesländer und Einrichtungen mit hoher Inzidenz</w:t>
            </w:r>
          </w:p>
        </w:tc>
      </w:tr>
    </w:tbl>
    <w:p w14:paraId="223C2A17" w14:textId="77777777" w:rsidR="006F2AB4" w:rsidRDefault="006F2AB4">
      <w:pPr>
        <w:spacing w:after="40"/>
      </w:pPr>
    </w:p>
    <w:p w14:paraId="79277AA3" w14:textId="77777777" w:rsidR="006F2AB4" w:rsidRDefault="002C6E1D">
      <w:pPr>
        <w:spacing w:before="60" w:after="60" w:line="288" w:lineRule="auto"/>
        <w:jc w:val="both"/>
      </w:pPr>
      <w:r>
        <w:rPr>
          <w:color w:val="1A1A1A"/>
        </w:rPr>
        <w:t xml:space="preserve">Die 3G-Regel galt für Arbeitsplätze und den öffentlichen Nahverkehr – beides für die meisten Berufstätigen keine Option. Die 2G-Regel schloss Ungeimpfte vollständig aus, selbst wenn ein negativer Test belegte, dass sie kein Virusrisiko darstellten. Dies waren keine vom Parlament verabschiedeten Gesetze. Es handelte sich um Verordnungen der Exekutive, die auf Bundes- und Landesebene umgesetzt wurden, gerade weil dem Parlament </w:t>
      </w:r>
      <w:r>
        <w:rPr>
          <w:color w:val="1A1A1A"/>
        </w:rPr>
        <w:lastRenderedPageBreak/>
        <w:t>ein formeller Antrag vorgelegt worden war und das Parlament diesen abgelehnt hatte. Der demokratische Prozess führte zu einer Antwort. Der exekutive Prozess führte mit anderen Mitteln zum gleichen praktischen Ergebnis.</w:t>
      </w:r>
    </w:p>
    <w:p w14:paraId="7A98A796" w14:textId="77777777" w:rsidR="006F2AB4" w:rsidRDefault="002C6E1D">
      <w:pPr>
        <w:spacing w:before="60" w:after="60" w:line="288" w:lineRule="auto"/>
        <w:jc w:val="both"/>
      </w:pPr>
      <w:r>
        <w:rPr>
          <w:color w:val="1A1A1A"/>
        </w:rPr>
        <w:t>Man stelle sich vor, was das für den Einzelnen bedeutete. Eine Lehrerin in Bayern, die sich von COVID erholt hatte und über nachweisbare natürliche Immunität verfügte, durfte ihre Schule unter den 2G-Regeln ohne Impfung nicht betreten. Ein Busfahrer in Hamburg, der sich aus Gewissensgründen weigerte, verlor das Recht auf die Nutzung öffentlicher Verkehrsmittel und damit faktisch seine Arbeitsfähigkeit. Ein Student in München wurde aus Universitätsbibliotheken und Hörsälen ausgeschlossen. Keiner dieser Aussc</w:t>
      </w:r>
      <w:r>
        <w:rPr>
          <w:color w:val="1A1A1A"/>
        </w:rPr>
        <w:t>hlüsse beruhte auf Beweisen dafür, dass der Impfstoff eine Übertragung verhindert – die EMA hatte dies nie behauptet. Sie beruhten auf politischem Druck, der Einhaltung einer Agenda und der bürokratischen Dynamik eines Systems, das entschieden hatte, was es wollte, und die Regeln so gestaltet hatte, um dieses Ziel zu erreichen.</w:t>
      </w:r>
    </w:p>
    <w:p w14:paraId="4D6226BE" w14:textId="77777777" w:rsidR="006F2AB4" w:rsidRDefault="002C6E1D">
      <w:pPr>
        <w:spacing w:before="60" w:after="60" w:line="288" w:lineRule="auto"/>
        <w:jc w:val="both"/>
      </w:pPr>
      <w:r>
        <w:rPr>
          <w:color w:val="1A1A1A"/>
        </w:rPr>
        <w:t>Menschen verloren Arbeitsplätze, Einkommen und Beziehungen. Manche verloren Unternehmen, die sie über Jahrzehnte aufgebaut hatten. Manche sahen sich sozialer Ausgrenzung durch Familien und Gemeinschaften ausgesetzt. All dies geschah auf der Grundlage einer falschen Prämisse – der Verhinderung der Übertragung –, während die Verträge, die die gesamte Haftung für etwaige Schäden auf eben diese Menschen übertrugen, vor der Öffentlichkeit verborgen blieben.</w:t>
      </w:r>
    </w:p>
    <w:p w14:paraId="49752D9A" w14:textId="77777777" w:rsidR="006F2AB4" w:rsidRDefault="002C6E1D">
      <w:pPr>
        <w:spacing w:before="60" w:after="60" w:line="288" w:lineRule="auto"/>
        <w:jc w:val="both"/>
      </w:pPr>
      <w:r>
        <w:rPr>
          <w:color w:val="1A1A1A"/>
        </w:rPr>
        <w:t>Und als dem Deutschen Bundestag schließlich die explizite Wahl gestellt wurde – sollen wir dies verpflichtend machen? –, sagte er Nein. 378 zu 296. Die demokratische Antwort war Nein. Die praktische Antwort, durch das System der Zugangsbeschränkungen, war bereits Ja.</w:t>
      </w:r>
    </w:p>
    <w:p w14:paraId="2F6339F9" w14:textId="77777777" w:rsidR="006F2AB4" w:rsidRDefault="006F2AB4">
      <w:pPr>
        <w:spacing w:after="120"/>
      </w:pPr>
    </w:p>
    <w:p w14:paraId="0CB3D4CF" w14:textId="77777777" w:rsidR="006F2AB4" w:rsidRDefault="002C6E1D">
      <w:pPr>
        <w:pStyle w:val="berschrift1"/>
        <w:pBdr>
          <w:bottom w:val="single" w:sz="8" w:space="4" w:color="1A1A2E"/>
        </w:pBdr>
      </w:pPr>
      <w:r>
        <w:t>8. Quellenangaben – Vervollständigt und korrigiert</w:t>
      </w:r>
    </w:p>
    <w:p w14:paraId="69F7CA62" w14:textId="77777777" w:rsidR="006F2AB4" w:rsidRDefault="002C6E1D">
      <w:pPr>
        <w:spacing w:before="60" w:after="60" w:line="288" w:lineRule="auto"/>
        <w:jc w:val="both"/>
      </w:pPr>
      <w:r>
        <w:rPr>
          <w:color w:val="1A1A1A"/>
        </w:rPr>
        <w:t>Alle wesentlichen Behauptungen in diesem Dokument sind im Folgenden mit den korrekten Quellen angegeben. Frühere Recherchen enthielten Fehler im Zitierverzeichnis (insbesondere: Material über die Beziehung zwischen Merkel und Von der Leyen wurde fälschlicherweise der Website von Rothschild &amp; Co. zugeordnet; diese Website enthält lediglich das Investoreninterview mit Pfizer). Diese Fehler wurden hier korrigiert.</w:t>
      </w:r>
    </w:p>
    <w:p w14:paraId="621C12DA" w14:textId="77777777" w:rsidR="006F2AB4" w:rsidRDefault="006F2AB4">
      <w:pPr>
        <w:spacing w:after="40"/>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62"/>
        <w:gridCol w:w="1992"/>
        <w:gridCol w:w="6646"/>
      </w:tblGrid>
      <w:tr w:rsidR="006F2AB4" w14:paraId="51F48131" w14:textId="77777777">
        <w:tblPrEx>
          <w:tblCellMar>
            <w:top w:w="0" w:type="dxa"/>
            <w:bottom w:w="0" w:type="dxa"/>
          </w:tblCellMar>
        </w:tblPrEx>
        <w:trPr>
          <w:tblHeader/>
        </w:trPr>
        <w:tc>
          <w:tcPr>
            <w:tcW w:w="3800" w:type="dxa"/>
            <w:tcBorders>
              <w:top w:val="single" w:sz="1" w:space="0" w:color="CCCCCC"/>
              <w:left w:val="single" w:sz="1" w:space="0" w:color="CCCCCC"/>
              <w:bottom w:val="single" w:sz="1" w:space="0" w:color="CCCCCC"/>
              <w:right w:val="single" w:sz="1" w:space="0" w:color="CCCCCC"/>
            </w:tcBorders>
            <w:shd w:val="clear" w:color="auto" w:fill="1A1A2E"/>
            <w:tcMar>
              <w:top w:w="100" w:type="dxa"/>
              <w:left w:w="150" w:type="dxa"/>
              <w:bottom w:w="100" w:type="dxa"/>
              <w:right w:w="150" w:type="dxa"/>
            </w:tcMar>
          </w:tcPr>
          <w:p w14:paraId="6A0C1BB2" w14:textId="77777777" w:rsidR="006F2AB4" w:rsidRDefault="002C6E1D">
            <w:pPr>
              <w:spacing w:before="60" w:after="60"/>
            </w:pPr>
            <w:r>
              <w:rPr>
                <w:b/>
                <w:bCs/>
                <w:color w:val="FFFFFF"/>
                <w:sz w:val="18"/>
                <w:szCs w:val="18"/>
              </w:rPr>
              <w:t>Behauptung</w:t>
            </w:r>
          </w:p>
        </w:tc>
        <w:tc>
          <w:tcPr>
            <w:tcW w:w="2800" w:type="dxa"/>
            <w:tcBorders>
              <w:top w:val="single" w:sz="1" w:space="0" w:color="CCCCCC"/>
              <w:left w:val="single" w:sz="1" w:space="0" w:color="CCCCCC"/>
              <w:bottom w:val="single" w:sz="1" w:space="0" w:color="CCCCCC"/>
              <w:right w:val="single" w:sz="1" w:space="0" w:color="CCCCCC"/>
            </w:tcBorders>
            <w:shd w:val="clear" w:color="auto" w:fill="1A1A2E"/>
            <w:tcMar>
              <w:top w:w="100" w:type="dxa"/>
              <w:left w:w="150" w:type="dxa"/>
              <w:bottom w:w="100" w:type="dxa"/>
              <w:right w:w="150" w:type="dxa"/>
            </w:tcMar>
          </w:tcPr>
          <w:p w14:paraId="6D8F6815" w14:textId="77777777" w:rsidR="006F2AB4" w:rsidRDefault="002C6E1D">
            <w:pPr>
              <w:spacing w:before="60" w:after="60"/>
            </w:pPr>
            <w:r>
              <w:rPr>
                <w:b/>
                <w:bCs/>
                <w:color w:val="FFFFFF"/>
                <w:sz w:val="18"/>
                <w:szCs w:val="18"/>
              </w:rPr>
              <w:t>Quelle</w:t>
            </w:r>
          </w:p>
        </w:tc>
        <w:tc>
          <w:tcPr>
            <w:tcW w:w="3480" w:type="dxa"/>
            <w:tcBorders>
              <w:top w:val="single" w:sz="1" w:space="0" w:color="CCCCCC"/>
              <w:left w:val="single" w:sz="1" w:space="0" w:color="CCCCCC"/>
              <w:bottom w:val="single" w:sz="1" w:space="0" w:color="CCCCCC"/>
              <w:right w:val="single" w:sz="1" w:space="0" w:color="CCCCCC"/>
            </w:tcBorders>
            <w:shd w:val="clear" w:color="auto" w:fill="1A1A2E"/>
            <w:tcMar>
              <w:top w:w="100" w:type="dxa"/>
              <w:left w:w="150" w:type="dxa"/>
              <w:bottom w:w="100" w:type="dxa"/>
              <w:right w:w="150" w:type="dxa"/>
            </w:tcMar>
          </w:tcPr>
          <w:p w14:paraId="3198E777" w14:textId="77777777" w:rsidR="006F2AB4" w:rsidRDefault="002C6E1D">
            <w:pPr>
              <w:spacing w:before="60" w:after="60"/>
            </w:pPr>
            <w:r>
              <w:rPr>
                <w:b/>
                <w:bCs/>
                <w:color w:val="FFFFFF"/>
                <w:sz w:val="18"/>
                <w:szCs w:val="18"/>
              </w:rPr>
              <w:t>URL / Referenz</w:t>
            </w:r>
          </w:p>
        </w:tc>
      </w:tr>
      <w:tr w:rsidR="006F2AB4" w14:paraId="55AC06E3" w14:textId="77777777">
        <w:tblPrEx>
          <w:tblCellMar>
            <w:top w:w="0" w:type="dxa"/>
            <w:bottom w:w="0" w:type="dxa"/>
          </w:tblCellMar>
        </w:tblPrEx>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50" w:type="dxa"/>
              <w:bottom w:w="100" w:type="dxa"/>
              <w:right w:w="150" w:type="dxa"/>
            </w:tcMar>
          </w:tcPr>
          <w:p w14:paraId="2C0D2126" w14:textId="77777777" w:rsidR="006F2AB4" w:rsidRDefault="002C6E1D">
            <w:pPr>
              <w:spacing w:before="60" w:after="60"/>
            </w:pPr>
            <w:r>
              <w:rPr>
                <w:color w:val="1A1A1A"/>
                <w:sz w:val="18"/>
                <w:szCs w:val="18"/>
              </w:rPr>
              <w:t>Merkel schenkte VdL als unerprobter Politikerin ihr Vertrauen</w:t>
            </w:r>
          </w:p>
        </w:tc>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50" w:type="dxa"/>
              <w:bottom w:w="100" w:type="dxa"/>
              <w:right w:w="150" w:type="dxa"/>
            </w:tcMar>
          </w:tcPr>
          <w:p w14:paraId="0EBD7B4F" w14:textId="77777777" w:rsidR="006F2AB4" w:rsidRDefault="002C6E1D">
            <w:pPr>
              <w:spacing w:before="60" w:after="60"/>
            </w:pPr>
            <w:r>
              <w:rPr>
                <w:color w:val="1A1A1A"/>
                <w:sz w:val="18"/>
                <w:szCs w:val="18"/>
              </w:rPr>
              <w:t>Foreign Policy, 30. April 2021</w:t>
            </w:r>
          </w:p>
        </w:tc>
        <w:tc>
          <w:tcPr>
            <w:tcW w:w="348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50" w:type="dxa"/>
              <w:bottom w:w="100" w:type="dxa"/>
              <w:right w:w="150" w:type="dxa"/>
            </w:tcMar>
          </w:tcPr>
          <w:p w14:paraId="16304AA3" w14:textId="77777777" w:rsidR="006F2AB4" w:rsidRDefault="002C6E1D">
            <w:pPr>
              <w:spacing w:before="60" w:after="60"/>
            </w:pPr>
            <w:hyperlink r:id="rId20" w:history="1">
              <w:r>
                <w:rPr>
                  <w:color w:val="1155CC"/>
                  <w:sz w:val="18"/>
                  <w:szCs w:val="18"/>
                  <w:u w:val="single"/>
                </w:rPr>
                <w:t>foreignpolicy.com – „Die aristokratische Unfähigkeit...“</w:t>
              </w:r>
            </w:hyperlink>
          </w:p>
        </w:tc>
      </w:tr>
      <w:tr w:rsidR="006F2AB4" w14:paraId="00A6D4DF" w14:textId="77777777">
        <w:tblPrEx>
          <w:tblCellMar>
            <w:top w:w="0" w:type="dxa"/>
            <w:bottom w:w="0" w:type="dxa"/>
          </w:tblCellMar>
        </w:tblPrEx>
        <w:tc>
          <w:tcPr>
            <w:tcW w:w="380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43910ABB" w14:textId="77777777" w:rsidR="006F2AB4" w:rsidRDefault="002C6E1D">
            <w:pPr>
              <w:spacing w:before="60" w:after="60"/>
            </w:pPr>
            <w:r>
              <w:rPr>
                <w:color w:val="1A1A1A"/>
                <w:sz w:val="18"/>
                <w:szCs w:val="18"/>
              </w:rPr>
              <w:t>VdL ist „treuer Vertrauter“ von Merkel; wahrscheinlicher Nachfolger</w:t>
            </w:r>
          </w:p>
        </w:tc>
        <w:tc>
          <w:tcPr>
            <w:tcW w:w="280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2E5580BA" w14:textId="77777777" w:rsidR="006F2AB4" w:rsidRDefault="002C6E1D">
            <w:pPr>
              <w:spacing w:before="60" w:after="60"/>
            </w:pPr>
            <w:r>
              <w:rPr>
                <w:color w:val="1A1A1A"/>
                <w:sz w:val="18"/>
                <w:szCs w:val="18"/>
              </w:rPr>
              <w:t>France 24, 1. Dezember 2019</w:t>
            </w:r>
          </w:p>
        </w:tc>
        <w:tc>
          <w:tcPr>
            <w:tcW w:w="348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21381C6A" w14:textId="77777777" w:rsidR="006F2AB4" w:rsidRDefault="002C6E1D">
            <w:pPr>
              <w:spacing w:before="60" w:after="60"/>
            </w:pPr>
            <w:hyperlink r:id="rId21" w:history="1">
              <w:r>
                <w:rPr>
                  <w:color w:val="1155CC"/>
                  <w:sz w:val="18"/>
                  <w:szCs w:val="18"/>
                  <w:u w:val="single"/>
                </w:rPr>
                <w:t>france24.com — „Merkel-Getreuer, von Macron bevorzugt“</w:t>
              </w:r>
            </w:hyperlink>
          </w:p>
        </w:tc>
      </w:tr>
      <w:tr w:rsidR="006F2AB4" w14:paraId="26124E92" w14:textId="77777777">
        <w:tblPrEx>
          <w:tblCellMar>
            <w:top w:w="0" w:type="dxa"/>
            <w:bottom w:w="0" w:type="dxa"/>
          </w:tblCellMar>
        </w:tblPrEx>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50" w:type="dxa"/>
              <w:bottom w:w="100" w:type="dxa"/>
              <w:right w:w="150" w:type="dxa"/>
            </w:tcMar>
          </w:tcPr>
          <w:p w14:paraId="1B4111A2" w14:textId="77777777" w:rsidR="006F2AB4" w:rsidRDefault="002C6E1D">
            <w:pPr>
              <w:spacing w:before="60" w:after="60"/>
            </w:pPr>
            <w:r>
              <w:rPr>
                <w:color w:val="1A1A1A"/>
                <w:sz w:val="18"/>
                <w:szCs w:val="18"/>
              </w:rPr>
              <w:t>VdL ist der einzige Minister, der in allen vier Merkel-Regierungen vertreten war</w:t>
            </w:r>
          </w:p>
        </w:tc>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50" w:type="dxa"/>
              <w:bottom w:w="100" w:type="dxa"/>
              <w:right w:w="150" w:type="dxa"/>
            </w:tcMar>
          </w:tcPr>
          <w:p w14:paraId="2A4E242F" w14:textId="77777777" w:rsidR="006F2AB4" w:rsidRDefault="002C6E1D">
            <w:pPr>
              <w:spacing w:before="60" w:after="60"/>
            </w:pPr>
            <w:r>
              <w:rPr>
                <w:color w:val="1A1A1A"/>
                <w:sz w:val="18"/>
                <w:szCs w:val="18"/>
              </w:rPr>
              <w:t>France 24 (2019); Wikipedia</w:t>
            </w:r>
          </w:p>
        </w:tc>
        <w:tc>
          <w:tcPr>
            <w:tcW w:w="348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50" w:type="dxa"/>
              <w:bottom w:w="100" w:type="dxa"/>
              <w:right w:w="150" w:type="dxa"/>
            </w:tcMar>
          </w:tcPr>
          <w:p w14:paraId="12CEE420" w14:textId="77777777" w:rsidR="006F2AB4" w:rsidRDefault="002C6E1D">
            <w:pPr>
              <w:spacing w:before="60" w:after="60"/>
            </w:pPr>
            <w:hyperlink r:id="rId22" w:history="1">
              <w:r>
                <w:rPr>
                  <w:color w:val="1155CC"/>
                  <w:sz w:val="18"/>
                  <w:szCs w:val="18"/>
                  <w:u w:val="single"/>
                </w:rPr>
                <w:t>en.wikipedia.org/wiki/Ursula_von_der_Leyen</w:t>
              </w:r>
            </w:hyperlink>
          </w:p>
        </w:tc>
      </w:tr>
      <w:tr w:rsidR="006F2AB4" w14:paraId="63F6B719" w14:textId="77777777">
        <w:tblPrEx>
          <w:tblCellMar>
            <w:top w:w="0" w:type="dxa"/>
            <w:bottom w:w="0" w:type="dxa"/>
          </w:tblCellMar>
        </w:tblPrEx>
        <w:tc>
          <w:tcPr>
            <w:tcW w:w="380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275CF5F1" w14:textId="77777777" w:rsidR="006F2AB4" w:rsidRDefault="002C6E1D">
            <w:pPr>
              <w:spacing w:before="60" w:after="60"/>
            </w:pPr>
            <w:r>
              <w:rPr>
                <w:color w:val="1A1A1A"/>
                <w:sz w:val="18"/>
                <w:szCs w:val="18"/>
              </w:rPr>
              <w:t>Wiederernennung 2018 als Zeichen des Vertrauens von Merkel</w:t>
            </w:r>
          </w:p>
        </w:tc>
        <w:tc>
          <w:tcPr>
            <w:tcW w:w="280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3453F7E7" w14:textId="77777777" w:rsidR="006F2AB4" w:rsidRDefault="002C6E1D">
            <w:pPr>
              <w:spacing w:before="60" w:after="60"/>
            </w:pPr>
            <w:r>
              <w:rPr>
                <w:color w:val="1A1A1A"/>
                <w:sz w:val="18"/>
                <w:szCs w:val="18"/>
              </w:rPr>
              <w:t>Offizielle Biografie der CDU</w:t>
            </w:r>
          </w:p>
        </w:tc>
        <w:tc>
          <w:tcPr>
            <w:tcW w:w="348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145A36D8" w14:textId="77777777" w:rsidR="006F2AB4" w:rsidRDefault="002C6E1D">
            <w:pPr>
              <w:spacing w:before="60" w:after="60"/>
            </w:pPr>
            <w:hyperlink r:id="rId23" w:history="1">
              <w:r>
                <w:rPr>
                  <w:color w:val="1155CC"/>
                  <w:sz w:val="18"/>
                  <w:szCs w:val="18"/>
                  <w:u w:val="single"/>
                </w:rPr>
                <w:t>kas.de — Geschichte der CDU</w:t>
              </w:r>
            </w:hyperlink>
          </w:p>
        </w:tc>
      </w:tr>
      <w:tr w:rsidR="006F2AB4" w14:paraId="66A1740F" w14:textId="77777777">
        <w:tblPrEx>
          <w:tblCellMar>
            <w:top w:w="0" w:type="dxa"/>
            <w:bottom w:w="0" w:type="dxa"/>
          </w:tblCellMar>
        </w:tblPrEx>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50" w:type="dxa"/>
              <w:bottom w:w="100" w:type="dxa"/>
              <w:right w:w="150" w:type="dxa"/>
            </w:tcMar>
          </w:tcPr>
          <w:p w14:paraId="0ADB2C3D" w14:textId="77777777" w:rsidR="006F2AB4" w:rsidRDefault="002C6E1D">
            <w:pPr>
              <w:spacing w:before="60" w:after="60"/>
            </w:pPr>
            <w:r>
              <w:rPr>
                <w:color w:val="1A1A1A"/>
                <w:sz w:val="18"/>
                <w:szCs w:val="18"/>
              </w:rPr>
              <w:lastRenderedPageBreak/>
              <w:t>Macron als Rothschild-Schützling; Beschreibung der FT</w:t>
            </w:r>
          </w:p>
        </w:tc>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50" w:type="dxa"/>
              <w:bottom w:w="100" w:type="dxa"/>
              <w:right w:w="150" w:type="dxa"/>
            </w:tcMar>
          </w:tcPr>
          <w:p w14:paraId="153CDC68" w14:textId="77777777" w:rsidR="006F2AB4" w:rsidRDefault="002C6E1D">
            <w:pPr>
              <w:spacing w:before="60" w:after="60"/>
            </w:pPr>
            <w:r>
              <w:rPr>
                <w:color w:val="1A1A1A"/>
                <w:sz w:val="18"/>
                <w:szCs w:val="18"/>
              </w:rPr>
              <w:t>Financial Times (2018); Factually.co</w:t>
            </w:r>
          </w:p>
        </w:tc>
        <w:tc>
          <w:tcPr>
            <w:tcW w:w="348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50" w:type="dxa"/>
              <w:bottom w:w="100" w:type="dxa"/>
              <w:right w:w="150" w:type="dxa"/>
            </w:tcMar>
          </w:tcPr>
          <w:p w14:paraId="5AE036C1" w14:textId="77777777" w:rsidR="006F2AB4" w:rsidRDefault="002C6E1D">
            <w:pPr>
              <w:spacing w:before="60" w:after="60"/>
            </w:pPr>
            <w:hyperlink r:id="rId24" w:history="1">
              <w:r>
                <w:rPr>
                  <w:color w:val="1155CC"/>
                  <w:sz w:val="18"/>
                  <w:szCs w:val="18"/>
                  <w:u w:val="single"/>
                </w:rPr>
                <w:t>factually.co/fact-checks/politics/macron-rothschild-connections</w:t>
              </w:r>
            </w:hyperlink>
          </w:p>
        </w:tc>
      </w:tr>
      <w:tr w:rsidR="006F2AB4" w14:paraId="42E2F53C" w14:textId="77777777">
        <w:tblPrEx>
          <w:tblCellMar>
            <w:top w:w="0" w:type="dxa"/>
            <w:bottom w:w="0" w:type="dxa"/>
          </w:tblCellMar>
        </w:tblPrEx>
        <w:tc>
          <w:tcPr>
            <w:tcW w:w="380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5AEE5D82" w14:textId="77777777" w:rsidR="006F2AB4" w:rsidRDefault="002C6E1D">
            <w:pPr>
              <w:spacing w:before="60" w:after="60"/>
            </w:pPr>
            <w:r>
              <w:rPr>
                <w:color w:val="1A1A1A"/>
                <w:sz w:val="18"/>
                <w:szCs w:val="18"/>
              </w:rPr>
              <w:t>Macrons Pfizer-Deal bei Rothschild (Nestlé APA)</w:t>
            </w:r>
          </w:p>
        </w:tc>
        <w:tc>
          <w:tcPr>
            <w:tcW w:w="280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058619F3" w14:textId="77777777" w:rsidR="006F2AB4" w:rsidRDefault="002C6E1D">
            <w:pPr>
              <w:spacing w:before="60" w:after="60"/>
            </w:pPr>
            <w:r>
              <w:rPr>
                <w:color w:val="1A1A1A"/>
                <w:sz w:val="18"/>
                <w:szCs w:val="18"/>
              </w:rPr>
              <w:t>Money.com; Wikipedia</w:t>
            </w:r>
          </w:p>
        </w:tc>
        <w:tc>
          <w:tcPr>
            <w:tcW w:w="348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049E2AF7" w14:textId="77777777" w:rsidR="006F2AB4" w:rsidRDefault="002C6E1D">
            <w:pPr>
              <w:spacing w:before="60" w:after="60"/>
            </w:pPr>
            <w:hyperlink r:id="rId25" w:history="1">
              <w:r>
                <w:rPr>
                  <w:color w:val="1155CC"/>
                  <w:sz w:val="18"/>
                  <w:szCs w:val="18"/>
                  <w:u w:val="single"/>
                </w:rPr>
                <w:t>money.com/emmanuel-macron-french-president-wealth-net-worth-rich</w:t>
              </w:r>
            </w:hyperlink>
          </w:p>
        </w:tc>
      </w:tr>
      <w:tr w:rsidR="006F2AB4" w14:paraId="67B97F69" w14:textId="77777777">
        <w:tblPrEx>
          <w:tblCellMar>
            <w:top w:w="0" w:type="dxa"/>
            <w:bottom w:w="0" w:type="dxa"/>
          </w:tblCellMar>
        </w:tblPrEx>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50" w:type="dxa"/>
              <w:bottom w:w="100" w:type="dxa"/>
              <w:right w:w="150" w:type="dxa"/>
            </w:tcMar>
          </w:tcPr>
          <w:p w14:paraId="17E6DEC8" w14:textId="77777777" w:rsidR="006F2AB4" w:rsidRDefault="002C6E1D">
            <w:pPr>
              <w:spacing w:before="60" w:after="60"/>
            </w:pPr>
            <w:r>
              <w:rPr>
                <w:color w:val="1A1A1A"/>
                <w:sz w:val="18"/>
                <w:szCs w:val="18"/>
              </w:rPr>
              <w:t>Investoreninterview von Rothschild &amp; Co mit Pfizer [eigenveröffentlicht]</w:t>
            </w:r>
          </w:p>
        </w:tc>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50" w:type="dxa"/>
              <w:bottom w:w="100" w:type="dxa"/>
              <w:right w:w="150" w:type="dxa"/>
            </w:tcMar>
          </w:tcPr>
          <w:p w14:paraId="0EFD6C49" w14:textId="77777777" w:rsidR="006F2AB4" w:rsidRDefault="002C6E1D">
            <w:pPr>
              <w:spacing w:before="60" w:after="60"/>
            </w:pPr>
            <w:r>
              <w:rPr>
                <w:color w:val="1A1A1A"/>
                <w:sz w:val="18"/>
                <w:szCs w:val="18"/>
              </w:rPr>
              <w:t>Eigene Website von Rothschild &amp; Co, April 2021</w:t>
            </w:r>
          </w:p>
        </w:tc>
        <w:tc>
          <w:tcPr>
            <w:tcW w:w="348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50" w:type="dxa"/>
              <w:bottom w:w="100" w:type="dxa"/>
              <w:right w:w="150" w:type="dxa"/>
            </w:tcMar>
          </w:tcPr>
          <w:p w14:paraId="2B2FE6E4" w14:textId="77777777" w:rsidR="006F2AB4" w:rsidRDefault="002C6E1D">
            <w:pPr>
              <w:spacing w:before="60" w:after="60"/>
            </w:pPr>
            <w:hyperlink r:id="rId26" w:history="1">
              <w:r>
                <w:rPr>
                  <w:color w:val="1155CC"/>
                  <w:sz w:val="18"/>
                  <w:szCs w:val="18"/>
                  <w:u w:val="single"/>
                </w:rPr>
                <w:t>rothschildandco.com – „Investment Views: Ein Interview mit Pfizer“</w:t>
              </w:r>
            </w:hyperlink>
          </w:p>
        </w:tc>
      </w:tr>
      <w:tr w:rsidR="006F2AB4" w14:paraId="043FA37A" w14:textId="77777777">
        <w:tblPrEx>
          <w:tblCellMar>
            <w:top w:w="0" w:type="dxa"/>
            <w:bottom w:w="0" w:type="dxa"/>
          </w:tblCellMar>
        </w:tblPrEx>
        <w:tc>
          <w:tcPr>
            <w:tcW w:w="380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5259BD07" w14:textId="77777777" w:rsidR="006F2AB4" w:rsidRDefault="002C6E1D">
            <w:pPr>
              <w:spacing w:before="60" w:after="60"/>
            </w:pPr>
            <w:r>
              <w:rPr>
                <w:color w:val="1A1A1A"/>
                <w:sz w:val="18"/>
                <w:szCs w:val="18"/>
              </w:rPr>
              <w:t>Merkel blockiert TRIPS-Ausnahmeregelung</w:t>
            </w:r>
          </w:p>
        </w:tc>
        <w:tc>
          <w:tcPr>
            <w:tcW w:w="280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57B5A63C" w14:textId="77777777" w:rsidR="006F2AB4" w:rsidRDefault="002C6E1D">
            <w:pPr>
              <w:spacing w:before="60" w:after="60"/>
            </w:pPr>
            <w:r>
              <w:rPr>
                <w:color w:val="1A1A1A"/>
                <w:sz w:val="18"/>
                <w:szCs w:val="18"/>
              </w:rPr>
              <w:t>Human Rights Watch, 14. Juni 2021</w:t>
            </w:r>
          </w:p>
        </w:tc>
        <w:tc>
          <w:tcPr>
            <w:tcW w:w="348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6EB72CD4" w14:textId="77777777" w:rsidR="006F2AB4" w:rsidRDefault="002C6E1D">
            <w:pPr>
              <w:spacing w:before="60" w:after="60"/>
            </w:pPr>
            <w:hyperlink r:id="rId27" w:history="1">
              <w:r>
                <w:rPr>
                  <w:color w:val="1155CC"/>
                  <w:sz w:val="18"/>
                  <w:szCs w:val="18"/>
                  <w:u w:val="single"/>
                </w:rPr>
                <w:t>hrw.org – „Merkel sollte die EU bei der COVID-19-IP-Ausnahmeregelung anführen“</w:t>
              </w:r>
            </w:hyperlink>
          </w:p>
        </w:tc>
      </w:tr>
      <w:tr w:rsidR="006F2AB4" w14:paraId="01493869" w14:textId="77777777">
        <w:tblPrEx>
          <w:tblCellMar>
            <w:top w:w="0" w:type="dxa"/>
            <w:bottom w:w="0" w:type="dxa"/>
          </w:tblCellMar>
        </w:tblPrEx>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50" w:type="dxa"/>
              <w:bottom w:w="100" w:type="dxa"/>
              <w:right w:w="150" w:type="dxa"/>
            </w:tcMar>
          </w:tcPr>
          <w:p w14:paraId="186F2683" w14:textId="77777777" w:rsidR="006F2AB4" w:rsidRDefault="002C6E1D">
            <w:pPr>
              <w:spacing w:before="60" w:after="60"/>
            </w:pPr>
            <w:r>
              <w:rPr>
                <w:color w:val="1A1A1A"/>
                <w:sz w:val="18"/>
                <w:szCs w:val="18"/>
              </w:rPr>
              <w:t>Veranstaltung des Atlantic Council – VdL und Bourla</w:t>
            </w:r>
          </w:p>
        </w:tc>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50" w:type="dxa"/>
              <w:bottom w:w="100" w:type="dxa"/>
              <w:right w:w="150" w:type="dxa"/>
            </w:tcMar>
          </w:tcPr>
          <w:p w14:paraId="7B2522FD" w14:textId="77777777" w:rsidR="006F2AB4" w:rsidRDefault="002C6E1D">
            <w:pPr>
              <w:spacing w:before="60" w:after="60"/>
            </w:pPr>
            <w:r>
              <w:rPr>
                <w:color w:val="1A1A1A"/>
                <w:sz w:val="18"/>
                <w:szCs w:val="18"/>
              </w:rPr>
              <w:t>WorldNews, 17. November 2021</w:t>
            </w:r>
          </w:p>
        </w:tc>
        <w:tc>
          <w:tcPr>
            <w:tcW w:w="348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50" w:type="dxa"/>
              <w:bottom w:w="100" w:type="dxa"/>
              <w:right w:w="150" w:type="dxa"/>
            </w:tcMar>
          </w:tcPr>
          <w:p w14:paraId="5ABC34FA" w14:textId="77777777" w:rsidR="006F2AB4" w:rsidRDefault="002C6E1D">
            <w:pPr>
              <w:spacing w:before="60" w:after="60"/>
            </w:pPr>
            <w:hyperlink r:id="rId28" w:history="1">
              <w:r>
                <w:rPr>
                  <w:color w:val="1155CC"/>
                  <w:sz w:val="18"/>
                  <w:szCs w:val="18"/>
                  <w:u w:val="single"/>
                </w:rPr>
                <w:t>article.wn.com — Feier des Atlantic Council</w:t>
              </w:r>
            </w:hyperlink>
          </w:p>
        </w:tc>
      </w:tr>
      <w:tr w:rsidR="006F2AB4" w14:paraId="300FE813" w14:textId="77777777">
        <w:tblPrEx>
          <w:tblCellMar>
            <w:top w:w="0" w:type="dxa"/>
            <w:bottom w:w="0" w:type="dxa"/>
          </w:tblCellMar>
        </w:tblPrEx>
        <w:tc>
          <w:tcPr>
            <w:tcW w:w="380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7105C299" w14:textId="77777777" w:rsidR="006F2AB4" w:rsidRDefault="002C6E1D">
            <w:pPr>
              <w:spacing w:before="60" w:after="60"/>
            </w:pPr>
            <w:r>
              <w:rPr>
                <w:color w:val="1A1A1A"/>
                <w:sz w:val="18"/>
                <w:szCs w:val="18"/>
              </w:rPr>
              <w:t>EMA: Impfstoffe nicht zur Übertragung zugelassen</w:t>
            </w:r>
          </w:p>
        </w:tc>
        <w:tc>
          <w:tcPr>
            <w:tcW w:w="280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0507591A" w14:textId="77777777" w:rsidR="006F2AB4" w:rsidRDefault="002C6E1D">
            <w:pPr>
              <w:spacing w:before="60" w:after="60"/>
            </w:pPr>
            <w:r>
              <w:rPr>
                <w:color w:val="1A1A1A"/>
                <w:sz w:val="18"/>
                <w:szCs w:val="18"/>
              </w:rPr>
              <w:t>Schreiben der EMA an den Europaabgeordneten Marcel de Graaff vom 18. Oktober 2023</w:t>
            </w:r>
          </w:p>
        </w:tc>
        <w:tc>
          <w:tcPr>
            <w:tcW w:w="348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05F200A8" w14:textId="77777777" w:rsidR="006F2AB4" w:rsidRDefault="002C6E1D">
            <w:pPr>
              <w:spacing w:before="60" w:after="60"/>
            </w:pPr>
            <w:r>
              <w:rPr>
                <w:color w:val="1A1A1A"/>
                <w:sz w:val="18"/>
                <w:szCs w:val="18"/>
              </w:rPr>
              <w:t>Projektdatei: 2023_10_18_Schreiben_an_den_Europaabgeordneten_Marcel_de_Graaff...pdf</w:t>
            </w:r>
          </w:p>
        </w:tc>
      </w:tr>
      <w:tr w:rsidR="006F2AB4" w14:paraId="5F599ED7" w14:textId="77777777">
        <w:tblPrEx>
          <w:tblCellMar>
            <w:top w:w="0" w:type="dxa"/>
            <w:bottom w:w="0" w:type="dxa"/>
          </w:tblCellMar>
        </w:tblPrEx>
        <w:tc>
          <w:tcPr>
            <w:tcW w:w="380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50" w:type="dxa"/>
              <w:bottom w:w="100" w:type="dxa"/>
              <w:right w:w="150" w:type="dxa"/>
            </w:tcMar>
          </w:tcPr>
          <w:p w14:paraId="6D46FFD6" w14:textId="77777777" w:rsidR="006F2AB4" w:rsidRDefault="002C6E1D">
            <w:pPr>
              <w:spacing w:before="60" w:after="60"/>
            </w:pPr>
            <w:r>
              <w:rPr>
                <w:color w:val="1A1A1A"/>
                <w:sz w:val="18"/>
                <w:szCs w:val="18"/>
              </w:rPr>
              <w:t>Pfizer: 1.291 Kategorien von unerwünschten Ereignissen in 90 Tagen</w:t>
            </w:r>
          </w:p>
        </w:tc>
        <w:tc>
          <w:tcPr>
            <w:tcW w:w="280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50" w:type="dxa"/>
              <w:bottom w:w="100" w:type="dxa"/>
              <w:right w:w="150" w:type="dxa"/>
            </w:tcMar>
          </w:tcPr>
          <w:p w14:paraId="57D193E6" w14:textId="77777777" w:rsidR="006F2AB4" w:rsidRDefault="002C6E1D">
            <w:pPr>
              <w:spacing w:before="60" w:after="60"/>
            </w:pPr>
            <w:r>
              <w:rPr>
                <w:color w:val="1A1A1A"/>
                <w:sz w:val="18"/>
                <w:szCs w:val="18"/>
              </w:rPr>
              <w:t>Pfizer-Bericht 5.3.6 zur Erfahrung nach der Markteinführung</w:t>
            </w:r>
          </w:p>
        </w:tc>
        <w:tc>
          <w:tcPr>
            <w:tcW w:w="3480" w:type="dxa"/>
            <w:tcBorders>
              <w:top w:val="single" w:sz="1" w:space="0" w:color="CCCCCC"/>
              <w:left w:val="single" w:sz="1" w:space="0" w:color="CCCCCC"/>
              <w:bottom w:val="single" w:sz="1" w:space="0" w:color="CCCCCC"/>
              <w:right w:val="single" w:sz="1" w:space="0" w:color="CCCCCC"/>
            </w:tcBorders>
            <w:shd w:val="clear" w:color="auto" w:fill="F5F5F5"/>
            <w:tcMar>
              <w:top w:w="100" w:type="dxa"/>
              <w:left w:w="150" w:type="dxa"/>
              <w:bottom w:w="100" w:type="dxa"/>
              <w:right w:w="150" w:type="dxa"/>
            </w:tcMar>
          </w:tcPr>
          <w:p w14:paraId="1E23D2C5" w14:textId="77777777" w:rsidR="006F2AB4" w:rsidRDefault="002C6E1D">
            <w:pPr>
              <w:spacing w:before="60" w:after="60"/>
            </w:pPr>
            <w:r>
              <w:rPr>
                <w:color w:val="1A1A1A"/>
                <w:sz w:val="18"/>
                <w:szCs w:val="18"/>
              </w:rPr>
              <w:t>Projektdatei: 5_3_6postmarketingexperience.pdf</w:t>
            </w:r>
          </w:p>
        </w:tc>
      </w:tr>
      <w:tr w:rsidR="006F2AB4" w14:paraId="0619D594" w14:textId="77777777">
        <w:tblPrEx>
          <w:tblCellMar>
            <w:top w:w="0" w:type="dxa"/>
            <w:bottom w:w="0" w:type="dxa"/>
          </w:tblCellMar>
        </w:tblPrEx>
        <w:tc>
          <w:tcPr>
            <w:tcW w:w="380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0C2F7EB1" w14:textId="77777777" w:rsidR="006F2AB4" w:rsidRDefault="002C6E1D">
            <w:pPr>
              <w:spacing w:before="60" w:after="60"/>
            </w:pPr>
            <w:r>
              <w:rPr>
                <w:color w:val="1A1A1A"/>
                <w:sz w:val="18"/>
                <w:szCs w:val="18"/>
              </w:rPr>
              <w:t>Untersuchung der EPPO zu VdL</w:t>
            </w:r>
          </w:p>
        </w:tc>
        <w:tc>
          <w:tcPr>
            <w:tcW w:w="280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151C04F3" w14:textId="77777777" w:rsidR="006F2AB4" w:rsidRDefault="002C6E1D">
            <w:pPr>
              <w:spacing w:before="60" w:after="60"/>
            </w:pPr>
            <w:r>
              <w:rPr>
                <w:color w:val="1A1A1A"/>
                <w:sz w:val="18"/>
                <w:szCs w:val="18"/>
              </w:rPr>
              <w:t>Öffentliche Stellungnahmen der EPPO; Mainstream-Presse</w:t>
            </w:r>
          </w:p>
        </w:tc>
        <w:tc>
          <w:tcPr>
            <w:tcW w:w="3480" w:type="dxa"/>
            <w:tcBorders>
              <w:top w:val="single" w:sz="1" w:space="0" w:color="CCCCCC"/>
              <w:left w:val="single" w:sz="1" w:space="0" w:color="CCCCCC"/>
              <w:bottom w:val="single" w:sz="1" w:space="0" w:color="CCCCCC"/>
              <w:right w:val="single" w:sz="1" w:space="0" w:color="CCCCCC"/>
            </w:tcBorders>
            <w:tcMar>
              <w:top w:w="100" w:type="dxa"/>
              <w:left w:w="150" w:type="dxa"/>
              <w:bottom w:w="100" w:type="dxa"/>
              <w:right w:w="150" w:type="dxa"/>
            </w:tcMar>
          </w:tcPr>
          <w:p w14:paraId="6EF69E0A" w14:textId="77777777" w:rsidR="006F2AB4" w:rsidRDefault="002C6E1D">
            <w:pPr>
              <w:spacing w:before="60" w:after="60"/>
            </w:pPr>
            <w:r>
              <w:rPr>
                <w:color w:val="1A1A1A"/>
                <w:sz w:val="18"/>
                <w:szCs w:val="18"/>
              </w:rPr>
              <w:t>Verschiedene Medien, 2022–2024; EPPO-Website</w:t>
            </w:r>
          </w:p>
        </w:tc>
      </w:tr>
    </w:tbl>
    <w:p w14:paraId="282350A1" w14:textId="77777777" w:rsidR="006F2AB4" w:rsidRDefault="006F2AB4">
      <w:pPr>
        <w:spacing w:after="120"/>
      </w:pPr>
    </w:p>
    <w:p w14:paraId="6DD8FD5D" w14:textId="77777777" w:rsidR="006F2AB4" w:rsidRDefault="002C6E1D">
      <w:pPr>
        <w:pStyle w:val="berschrift1"/>
        <w:pBdr>
          <w:bottom w:val="single" w:sz="8" w:space="4" w:color="1A1A2E"/>
        </w:pBdr>
      </w:pPr>
      <w:r>
        <w:t>9. Merkel, die Stasi und die versiegelte Akte</w:t>
      </w:r>
    </w:p>
    <w:p w14:paraId="387CC090" w14:textId="77777777" w:rsidR="006F2AB4" w:rsidRDefault="002C6E1D">
      <w:pPr>
        <w:spacing w:before="60" w:after="60" w:line="288" w:lineRule="auto"/>
        <w:jc w:val="both"/>
      </w:pPr>
      <w:r>
        <w:rPr>
          <w:color w:val="1A1A1A"/>
        </w:rPr>
        <w:t>Ein paralleles Problem der Rechenschaftspflicht besteht hinsichtlich Merkels Vergangenheit in der Deutschen Demokratischen Republik – eines, das dem gleichen strukturellen Muster folgt wie die gelöschten Textnachrichten von Von der Leyen: Die Person, die am meisten zu verlieren hat, kontrolliert, ob die Beweise sichtbar werden.</w:t>
      </w:r>
    </w:p>
    <w:p w14:paraId="24F41DD2" w14:textId="77777777" w:rsidR="006F2AB4" w:rsidRDefault="002C6E1D">
      <w:pPr>
        <w:pStyle w:val="berschrift2"/>
      </w:pPr>
      <w:r>
        <w:t>9.1 Maassens Erklärung – Januar 2025</w:t>
      </w:r>
    </w:p>
    <w:p w14:paraId="4428BC08" w14:textId="77777777" w:rsidR="006F2AB4" w:rsidRDefault="002C6E1D">
      <w:pPr>
        <w:spacing w:before="60" w:after="60" w:line="288" w:lineRule="auto"/>
        <w:jc w:val="both"/>
      </w:pPr>
      <w:r>
        <w:rPr>
          <w:color w:val="1A1A1A"/>
        </w:rPr>
        <w:t>Im Januar 2025 gab Hans-Georg Maaßen – ehemaliger Präsident des deutschen Verfassungsschutzes, der selbst von Merkel entlassen worden war – folgende öffentliche Erklärung ab:</w:t>
      </w:r>
    </w:p>
    <w:p w14:paraId="69C26854" w14:textId="77777777" w:rsidR="006F2AB4" w:rsidRDefault="002C6E1D">
      <w:pPr>
        <w:spacing w:before="120" w:after="120" w:line="288" w:lineRule="auto"/>
        <w:ind w:left="720" w:right="720"/>
      </w:pPr>
      <w:r>
        <w:rPr>
          <w:i/>
          <w:iCs/>
          <w:color w:val="1A1A2E"/>
        </w:rPr>
        <w:t xml:space="preserve">„Die Freigabe von Frau Merkels Stasi-Akte ist im Interesse der Demokratie notwendig, denn die Bürger haben ein Recht darauf zu erfahren, ob sie von einer ehemaligen Mitarbeiterin der Stasi </w:t>
      </w:r>
      <w:r>
        <w:rPr>
          <w:i/>
          <w:iCs/>
          <w:color w:val="1A1A2E"/>
        </w:rPr>
        <w:lastRenderedPageBreak/>
        <w:t>und/oder des KGB regiert wurden. Wäre sie lediglich eine einfache Angestellte einer Verwaltungsbehörde gewesen, hätte ihre Akte schon längst freigegeben werden müssen.“</w:t>
      </w:r>
    </w:p>
    <w:p w14:paraId="62294E28" w14:textId="77777777" w:rsidR="006F2AB4" w:rsidRDefault="002C6E1D">
      <w:pPr>
        <w:spacing w:before="60" w:after="60" w:line="288" w:lineRule="auto"/>
        <w:jc w:val="both"/>
      </w:pPr>
      <w:r>
        <w:rPr>
          <w:color w:val="1A1A1A"/>
        </w:rPr>
        <w:t>Maassens Erklärung hat besonderes Gewicht: Er bekleidete die höchste Position im deutschen Verfassungsschutz und wurde von Merkel entlassen – was ihm sowohl institutionelle Fachkenntnis als auch persönliches Ansehen verleiht. Seine Formulierung impliziert, dass die Akte automatisch hätte freigegeben werden müssen, wenn es sich lediglich um eine Verwaltungsakte eines Opfers gehandelt hätte – was darauf hindeutet, dass er Grund zu der Annahme hat, dass dies nicht der Fall ist.</w:t>
      </w:r>
    </w:p>
    <w:p w14:paraId="65A84718" w14:textId="77777777" w:rsidR="006F2AB4" w:rsidRDefault="002C6E1D">
      <w:pPr>
        <w:spacing w:before="40" w:after="100"/>
        <w:ind w:left="360"/>
      </w:pPr>
      <w:r>
        <w:rPr>
          <w:i/>
          <w:iCs/>
          <w:color w:val="555555"/>
          <w:sz w:val="17"/>
          <w:szCs w:val="17"/>
        </w:rPr>
        <w:t xml:space="preserve">Quelle: Öffentliche Erklärung von Hans-Georg Maaßen, Januar 2025. </w:t>
      </w:r>
      <w:hyperlink r:id="rId29" w:history="1">
        <w:r>
          <w:rPr>
            <w:color w:val="1155CC"/>
            <w:sz w:val="18"/>
            <w:szCs w:val="18"/>
            <w:u w:val="single"/>
          </w:rPr>
          <w:t>Facebook-Beitrag (verifiziert)</w:t>
        </w:r>
      </w:hyperlink>
      <w:r>
        <w:rPr>
          <w:i/>
          <w:iCs/>
          <w:color w:val="555555"/>
          <w:sz w:val="17"/>
          <w:szCs w:val="17"/>
        </w:rPr>
        <w:t>; bestätigt von Journalistenwatch (31. Januar 2025) und Philosophia Perennis (3. Februar 2025).</w:t>
      </w:r>
    </w:p>
    <w:p w14:paraId="03BC5983" w14:textId="77777777" w:rsidR="006F2AB4" w:rsidRDefault="002C6E1D">
      <w:pPr>
        <w:pStyle w:val="berschrift2"/>
      </w:pPr>
      <w:r>
        <w:t>9.2 Der Rechtsstreit und das Urteil vom März 2026</w:t>
      </w:r>
    </w:p>
    <w:p w14:paraId="6BC29861" w14:textId="77777777" w:rsidR="006F2AB4" w:rsidRDefault="002C6E1D">
      <w:pPr>
        <w:spacing w:before="60" w:after="60" w:line="288" w:lineRule="auto"/>
        <w:jc w:val="both"/>
      </w:pPr>
      <w:r>
        <w:rPr>
          <w:color w:val="1A1A1A"/>
        </w:rPr>
        <w:t>Marcel Luthe – Gründer der „Good Governance Gewerkschaft“ und ehemaliges FDP-Mitglied des Berliner Landtags – reichte beim Verwaltungsgericht Berlin Klage ein, um die Freigabe von Merkels Stasi-Akte zu erzwingen. Er argumentierte, dass ihre Akte als historische Persönlichkeit des öffentlichen Lebens und ehemalige Bundeskanzlerin unter die zwingenden Offenlegungsvorschriften des Stasi-Aktengesetzes falle.</w:t>
      </w:r>
    </w:p>
    <w:p w14:paraId="235CBE5F" w14:textId="77777777" w:rsidR="006F2AB4" w:rsidRDefault="002C6E1D">
      <w:pPr>
        <w:spacing w:before="60" w:after="60" w:line="288" w:lineRule="auto"/>
        <w:jc w:val="both"/>
      </w:pPr>
      <w:r>
        <w:rPr>
          <w:color w:val="1A1A1A"/>
        </w:rPr>
        <w:t>Am 13. März 2026 entschied das Gericht gegen ihn. Die Erste Kammer unter Vorsitz von Richter Jens Tegtmeier stellte fest, dass Luthe nach dem Stasi-Aktengesetz „keinen Rechtsanspruch auf die Freigabe“ habe. Luthe wurde zur Zahlung von 20.000 € an aufgelaufenen Prozesskosten verurteilt. Die Akte bleibt versiegelt.</w:t>
      </w:r>
    </w:p>
    <w:p w14:paraId="3800032D" w14:textId="77777777" w:rsidR="006F2AB4" w:rsidRDefault="002C6E1D">
      <w:pPr>
        <w:spacing w:before="60" w:after="60" w:line="288" w:lineRule="auto"/>
        <w:jc w:val="both"/>
      </w:pPr>
      <w:r>
        <w:rPr>
          <w:color w:val="1A1A1A"/>
        </w:rPr>
        <w:t>Der rechtliche Mechanismus: Das Bundesarchiv stuft Merkels mögliche Akte als Nicht-Täter-Akte ein – das heißt, es handelt sich um eine Akte, die Informationen über sie sammelt, anstatt sie als Stasi-Mitarbeiterin zu dokumentieren. Dies löst den Schutz personenbezogener Daten aus. Ohne Merkels eigene Zustimmung kann die Akte nicht freigegeben werden. Merkel verweigert ihre Zustimmung.</w:t>
      </w:r>
    </w:p>
    <w:p w14:paraId="7386A5D1" w14:textId="77777777" w:rsidR="006F2AB4" w:rsidRDefault="002C6E1D">
      <w:pPr>
        <w:spacing w:before="60" w:after="60" w:line="288" w:lineRule="auto"/>
        <w:jc w:val="both"/>
      </w:pPr>
      <w:r>
        <w:rPr>
          <w:color w:val="1A1A1A"/>
        </w:rPr>
        <w:t>Das strukturelle Problem: Die Einstufung als Opfer- oder Täterakte ist selbst der Streitpunkt. Ob Merkel Informantin war oder lediglich überwacht wurde, lässt sich ohne Einsicht in die Akte nicht feststellen. Die Akte kann jedoch erst eingesehen werden, wenn die Frage bereits zu ihren Gunsten geklärt ist. Das Gericht akzeptierte diesen Zirkelschluss. Das Berliner Verwaltungsgericht verzögerte zudem die Verhandlung des Falles um über ein Jahr, bevor es ein Urteil fällte.</w:t>
      </w:r>
    </w:p>
    <w:p w14:paraId="0F944647" w14:textId="77777777" w:rsidR="006F2AB4" w:rsidRDefault="002C6E1D">
      <w:pPr>
        <w:spacing w:before="40" w:after="100"/>
        <w:ind w:left="360"/>
      </w:pPr>
      <w:hyperlink r:id="rId30" w:history="1">
        <w:r>
          <w:rPr>
            <w:color w:val="1155CC"/>
            <w:sz w:val="18"/>
            <w:szCs w:val="18"/>
            <w:u w:val="single"/>
          </w:rPr>
          <w:t>Berliner Zeitung, 13. März 2026</w:t>
        </w:r>
      </w:hyperlink>
      <w:r>
        <w:rPr>
          <w:i/>
          <w:iCs/>
          <w:color w:val="555555"/>
          <w:sz w:val="17"/>
          <w:szCs w:val="17"/>
        </w:rPr>
        <w:t xml:space="preserve">; </w:t>
      </w:r>
      <w:hyperlink r:id="rId31" w:history="1">
        <w:r>
          <w:rPr>
            <w:color w:val="1155CC"/>
            <w:sz w:val="18"/>
            <w:szCs w:val="18"/>
            <w:u w:val="single"/>
          </w:rPr>
          <w:t>Ausführliche rechtliche Analyse, 15. März 2026</w:t>
        </w:r>
      </w:hyperlink>
    </w:p>
    <w:p w14:paraId="4658D54E" w14:textId="77777777" w:rsidR="006F2AB4" w:rsidRDefault="002C6E1D">
      <w:pPr>
        <w:pStyle w:val="berschrift2"/>
      </w:pPr>
      <w:r>
        <w:t>9.3 Dokumentierte Unstimmigkeiten aus Merkels DDR-Zeit</w:t>
      </w:r>
    </w:p>
    <w:p w14:paraId="58FBDE10" w14:textId="77777777" w:rsidR="006F2AB4" w:rsidRDefault="002C6E1D">
      <w:pPr>
        <w:spacing w:before="60" w:after="60" w:line="288" w:lineRule="auto"/>
        <w:jc w:val="both"/>
      </w:pPr>
      <w:r>
        <w:rPr>
          <w:color w:val="1A1A1A"/>
        </w:rPr>
        <w:t>Die folgenden Fakten zu Merkels DDR-Biografie sind dokumentiert und unbestritten. Sie beweisen zwar keine Zusammenarbeit mit der Stasi – doch sie bilden ein ungewöhnliches Muster, das die versiegelte Akte entweder erklären oder widerlegen würde:</w:t>
      </w:r>
    </w:p>
    <w:p w14:paraId="5182E5A7" w14:textId="77777777" w:rsidR="006F2AB4" w:rsidRDefault="002C6E1D">
      <w:pPr>
        <w:pStyle w:val="Listenabsatz"/>
        <w:numPr>
          <w:ilvl w:val="0"/>
          <w:numId w:val="2"/>
        </w:numPr>
        <w:spacing w:before="60" w:after="60"/>
      </w:pPr>
      <w:r>
        <w:rPr>
          <w:color w:val="1A1A1A"/>
        </w:rPr>
        <w:t>Ihr wurde mehrfach die Einreise nach Westdeutschland gestattet, ohne dass Familienangehörige als Geiseln festgehalten wurden – die übliche Praxis der DDR zur Kontrolle von Bürgern mit Kontakten zum Westen.</w:t>
      </w:r>
    </w:p>
    <w:p w14:paraId="25B10957" w14:textId="77777777" w:rsidR="006F2AB4" w:rsidRDefault="002C6E1D">
      <w:pPr>
        <w:pStyle w:val="Listenabsatz"/>
        <w:numPr>
          <w:ilvl w:val="0"/>
          <w:numId w:val="2"/>
        </w:numPr>
        <w:spacing w:before="60" w:after="60"/>
      </w:pPr>
      <w:r>
        <w:rPr>
          <w:color w:val="1A1A1A"/>
        </w:rPr>
        <w:t>Sie unternahm Auslandsreisen in die Sowjetunion, nach Polen und in die Tschechoslowakei – ungewöhnlich für DDR-Bürger auf ihrem beruflichen Niveau.</w:t>
      </w:r>
    </w:p>
    <w:p w14:paraId="13C027FF" w14:textId="77777777" w:rsidR="006F2AB4" w:rsidRDefault="002C6E1D">
      <w:pPr>
        <w:pStyle w:val="Listenabsatz"/>
        <w:numPr>
          <w:ilvl w:val="0"/>
          <w:numId w:val="2"/>
        </w:numPr>
        <w:spacing w:before="60" w:after="60"/>
      </w:pPr>
      <w:r>
        <w:rPr>
          <w:color w:val="1A1A1A"/>
        </w:rPr>
        <w:t>Mindestens drei Kollegen an ihrem Institut (dem Zentralinstitut für Physikalische Chemie der Akademie der Wissenschaften) waren als „Inoffizielle Mitarbeiter“ (inoffizielle Stasi-Mitarbeiter) registriert.</w:t>
      </w:r>
    </w:p>
    <w:p w14:paraId="4DCB2FDD" w14:textId="77777777" w:rsidR="006F2AB4" w:rsidRDefault="002C6E1D">
      <w:pPr>
        <w:pStyle w:val="Listenabsatz"/>
        <w:numPr>
          <w:ilvl w:val="0"/>
          <w:numId w:val="2"/>
        </w:numPr>
        <w:spacing w:before="60" w:after="60"/>
      </w:pPr>
      <w:r>
        <w:rPr>
          <w:color w:val="1A1A1A"/>
        </w:rPr>
        <w:t>Ihr späterer politischer Förderer Lothar de Maizière – der ihr 1990 ihr erstes politisches Amt verschaffte – wurde später als Stasi-IM „Czerny“ identifiziert.</w:t>
      </w:r>
    </w:p>
    <w:p w14:paraId="06F7FD0B" w14:textId="77777777" w:rsidR="006F2AB4" w:rsidRDefault="002C6E1D">
      <w:pPr>
        <w:pStyle w:val="Listenabsatz"/>
        <w:numPr>
          <w:ilvl w:val="0"/>
          <w:numId w:val="2"/>
        </w:numPr>
        <w:spacing w:before="60" w:after="60"/>
      </w:pPr>
      <w:r>
        <w:rPr>
          <w:color w:val="1A1A1A"/>
        </w:rPr>
        <w:t>Sie bekleidete das Amt der Sekretärin für Agitation und Propaganda in der FDJ-Führung ihres Instituts – eine Funktion, die ideologische Zuverlässigkeit erforderte und die Berichterstattung über Kollegen beinhaltete.</w:t>
      </w:r>
    </w:p>
    <w:p w14:paraId="72B3349B" w14:textId="77777777" w:rsidR="006F2AB4" w:rsidRDefault="002C6E1D">
      <w:pPr>
        <w:pStyle w:val="Listenabsatz"/>
        <w:numPr>
          <w:ilvl w:val="0"/>
          <w:numId w:val="2"/>
        </w:numPr>
        <w:spacing w:before="60" w:after="60"/>
      </w:pPr>
      <w:r>
        <w:rPr>
          <w:color w:val="1A1A1A"/>
        </w:rPr>
        <w:t>Trotz dokumentierter Verstöße, darunter der Schmuggel von Solidarność-Materialien und eine illegale Reise in die Sowjetunion, hatte sie keine disziplinarischen Konsequenzen zu befürchten – was im DDR-System höchst ungewöhnlich war.</w:t>
      </w:r>
    </w:p>
    <w:p w14:paraId="5FF6258D" w14:textId="77777777" w:rsidR="006F2AB4" w:rsidRDefault="002C6E1D">
      <w:pPr>
        <w:spacing w:before="40" w:after="100"/>
        <w:ind w:left="360"/>
      </w:pPr>
      <w:hyperlink r:id="rId32" w:history="1">
        <w:r>
          <w:rPr>
            <w:color w:val="1155CC"/>
            <w:sz w:val="18"/>
            <w:szCs w:val="18"/>
            <w:u w:val="single"/>
          </w:rPr>
          <w:t>Journalistenwatch, 27. September 2025</w:t>
        </w:r>
      </w:hyperlink>
      <w:r>
        <w:rPr>
          <w:i/>
          <w:iCs/>
          <w:color w:val="555555"/>
          <w:sz w:val="17"/>
          <w:szCs w:val="17"/>
        </w:rPr>
        <w:t xml:space="preserve">; Recherchen von Hubertus Knabe (Gedenkstätte Berlin-Hohenschönhausen); </w:t>
      </w:r>
      <w:hyperlink r:id="rId33" w:history="1">
        <w:r>
          <w:rPr>
            <w:color w:val="1155CC"/>
            <w:sz w:val="18"/>
            <w:szCs w:val="18"/>
            <w:u w:val="single"/>
          </w:rPr>
          <w:t>Analyse von Kettner Edelmetalle, 12. Mai 2025</w:t>
        </w:r>
      </w:hyperlink>
    </w:p>
    <w:p w14:paraId="010B8D2F" w14:textId="77777777" w:rsidR="006F2AB4" w:rsidRDefault="002C6E1D">
      <w:pPr>
        <w:pStyle w:val="berschrift2"/>
      </w:pPr>
      <w:r>
        <w:lastRenderedPageBreak/>
        <w:t>9.4 Was feststeht und was nicht</w:t>
      </w:r>
    </w:p>
    <w:p w14:paraId="3333FA53" w14:textId="77777777" w:rsidR="006F2AB4" w:rsidRDefault="002C6E1D">
      <w:pPr>
        <w:spacing w:before="60" w:after="60" w:line="288" w:lineRule="auto"/>
        <w:jc w:val="both"/>
      </w:pPr>
      <w:r>
        <w:rPr>
          <w:color w:val="1A1A1A"/>
        </w:rPr>
        <w:t>Was nicht bewiesen ist: dass Merkel die Stasi-IM „Erika“ oder eine registrierte Informantin war. Der Historiker Hubertus Knabe – ehemaliger Direktor der Gedenkstätte Hohenschönhausen und Deutschlands führender Stasi-Forscher – fand Spuren einer inoffiziellen Mitarbeiterin mit diesem Decknamen, kam jedoch zu dem Schluss: „Es gibt keinerlei Beweise für die Behauptung, dass Bundeskanzlerin Merkel unter dem Decknamen ‚Erika‘ für die Stasi gearbeitet habe. Hätte es eine entsprechende IM-Akte gegeben, müssten noc</w:t>
      </w:r>
      <w:r>
        <w:rPr>
          <w:color w:val="1A1A1A"/>
        </w:rPr>
        <w:t>h Spuren davon vorhanden sein – und das ist nach heutigem Kenntnisstand nicht der Fall.“</w:t>
      </w:r>
    </w:p>
    <w:p w14:paraId="6C17091C" w14:textId="77777777" w:rsidR="006F2AB4" w:rsidRDefault="002C6E1D">
      <w:pPr>
        <w:spacing w:before="60" w:after="60" w:line="288" w:lineRule="auto"/>
        <w:jc w:val="both"/>
      </w:pPr>
      <w:r>
        <w:rPr>
          <w:color w:val="1A1A1A"/>
        </w:rPr>
        <w:t>Was feststeht: Merkel genoss in der DDR Privilegien, die mit ihrem offiziellen Status unvereinbar waren. Ihr unmittelbares berufliches Umfeld wurde stark überwacht und unterwandert. Ihr erster politischer Förderer war ein bekannter Stasi-Informant. Ihre Akte existiert. Sie weigert sich, sie freizugeben. Das Gericht akzeptierte ihre Weigerung. Der Fall wurde über ein Jahr lang verzögert, bevor ein Urteil gegen den Kläger erging.</w:t>
      </w:r>
    </w:p>
    <w:p w14:paraId="4AC55D09" w14:textId="77777777" w:rsidR="006F2AB4" w:rsidRDefault="002C6E1D">
      <w:pPr>
        <w:pStyle w:val="berschrift2"/>
      </w:pPr>
      <w:r>
        <w:t>9.5 Das strukturelle Muster</w:t>
      </w:r>
    </w:p>
    <w:p w14:paraId="108F0D0C" w14:textId="77777777" w:rsidR="006F2AB4" w:rsidRDefault="002C6E1D">
      <w:pPr>
        <w:spacing w:before="60" w:after="60" w:line="288" w:lineRule="auto"/>
        <w:jc w:val="both"/>
      </w:pPr>
      <w:r>
        <w:rPr>
          <w:color w:val="1A1A1A"/>
        </w:rPr>
        <w:t>Die Parallele zu den gelöschten Textnachrichten von Von der Leyen ist formal exakt:</w:t>
      </w:r>
    </w:p>
    <w:p w14:paraId="5AF4329D" w14:textId="77777777" w:rsidR="006F2AB4" w:rsidRDefault="002C6E1D">
      <w:pPr>
        <w:pStyle w:val="Listenabsatz"/>
        <w:numPr>
          <w:ilvl w:val="0"/>
          <w:numId w:val="2"/>
        </w:numPr>
        <w:spacing w:before="60" w:after="60"/>
      </w:pPr>
      <w:r>
        <w:rPr>
          <w:color w:val="1A1A1A"/>
        </w:rPr>
        <w:t>Von der Leyen: Mitteilungen, die offenlegen würden, wer den Pfizer-Deal angeordnet hat, wurden vernichtet. Die Person, deren Verhalten in Frage steht, kontrollierte die Beweismittel.</w:t>
      </w:r>
    </w:p>
    <w:p w14:paraId="6546A625" w14:textId="77777777" w:rsidR="006F2AB4" w:rsidRDefault="002C6E1D">
      <w:pPr>
        <w:pStyle w:val="Listenabsatz"/>
        <w:numPr>
          <w:ilvl w:val="0"/>
          <w:numId w:val="2"/>
        </w:numPr>
        <w:spacing w:before="60" w:after="60"/>
      </w:pPr>
      <w:r>
        <w:rPr>
          <w:color w:val="1A1A1A"/>
        </w:rPr>
        <w:t>Merkel: Dokumente, die ihre Verbindungen zum DDR-Geheimdienst offenlegen würden, sind unter Verschluss. Die Person, deren Verhalten in Frage steht, kontrolliert die Zustimmung zur Freigabe.</w:t>
      </w:r>
    </w:p>
    <w:p w14:paraId="6260D5F8" w14:textId="77777777" w:rsidR="006F2AB4" w:rsidRDefault="002C6E1D">
      <w:pPr>
        <w:pStyle w:val="Listenabsatz"/>
        <w:numPr>
          <w:ilvl w:val="0"/>
          <w:numId w:val="2"/>
        </w:numPr>
        <w:spacing w:before="60" w:after="60"/>
      </w:pPr>
      <w:r>
        <w:rPr>
          <w:color w:val="1A1A1A"/>
        </w:rPr>
        <w:t>In beiden Fällen ist das institutionelle System, das eine Offenlegung erzwingen würde, dasselbe System, das die Begründung akzeptierte, warum eine Offenlegung nicht erfolgen kann.</w:t>
      </w:r>
    </w:p>
    <w:p w14:paraId="37FD86F3" w14:textId="77777777" w:rsidR="006F2AB4" w:rsidRDefault="002C6E1D">
      <w:pPr>
        <w:spacing w:before="60" w:after="60" w:line="288" w:lineRule="auto"/>
        <w:jc w:val="both"/>
      </w:pPr>
      <w:r>
        <w:rPr>
          <w:color w:val="1A1A1A"/>
        </w:rPr>
        <w:t>Eine Bundeskanzlerin, die Deutschland 16 Jahre lang regierte, die ihren eigenen Chef des Inlandsgeheimdienstes entließ und die die Freigabe ihrer eigenen Geheimdienstakte blockiert hat, hat jede unabhängige Überprüfung ihrer Vergangenheit erfolgreich verhindert. Das Urteil vom März 2026 bestätigte, dass das Rechtssystem diese Überprüfung nicht erzwingen wird.</w:t>
      </w:r>
    </w:p>
    <w:p w14:paraId="142EFBC9" w14:textId="77777777" w:rsidR="006F2AB4" w:rsidRDefault="006F2AB4">
      <w:pPr>
        <w:spacing w:after="120"/>
      </w:pPr>
    </w:p>
    <w:p w14:paraId="697E09E3" w14:textId="77777777" w:rsidR="006F2AB4" w:rsidRDefault="002C6E1D">
      <w:pPr>
        <w:pStyle w:val="berschrift1"/>
        <w:pBdr>
          <w:bottom w:val="single" w:sz="8" w:space="4" w:color="1A1A2E"/>
        </w:pBdr>
      </w:pPr>
      <w:r>
        <w:t>10. Zusammenfassung der Ergebnisse</w:t>
      </w:r>
    </w:p>
    <w:p w14:paraId="234E2853" w14:textId="77777777" w:rsidR="006F2AB4" w:rsidRDefault="002C6E1D">
      <w:pPr>
        <w:spacing w:before="60" w:after="60" w:line="288" w:lineRule="auto"/>
        <w:jc w:val="both"/>
      </w:pPr>
      <w:r>
        <w:rPr>
          <w:color w:val="1A1A1A"/>
        </w:rPr>
        <w:t>Folgendes ist durch Primärquellenbelegung zweifelsfrei festgestellt:</w:t>
      </w:r>
    </w:p>
    <w:p w14:paraId="086DD059" w14:textId="77777777" w:rsidR="006F2AB4" w:rsidRDefault="002C6E1D">
      <w:pPr>
        <w:pStyle w:val="Listenabsatz"/>
        <w:numPr>
          <w:ilvl w:val="0"/>
          <w:numId w:val="2"/>
        </w:numPr>
        <w:spacing w:before="60" w:after="60"/>
      </w:pPr>
      <w:r>
        <w:rPr>
          <w:color w:val="1A1A1A"/>
        </w:rPr>
        <w:t>Von der Leyen hat die Beschaffung von Impfstoffen persönlich über private Kontakte mit dem CEO von Pfizer abgewickelt. Diese Korrespondenz wurde vernichtet oder als verloren gemeldet. Das Gericht der Europäischen Union befand diese Erklärung für unglaubwürdig.</w:t>
      </w:r>
    </w:p>
    <w:p w14:paraId="77DE91CA" w14:textId="77777777" w:rsidR="006F2AB4" w:rsidRDefault="002C6E1D">
      <w:pPr>
        <w:pStyle w:val="Listenabsatz"/>
        <w:numPr>
          <w:ilvl w:val="0"/>
          <w:numId w:val="2"/>
        </w:numPr>
        <w:spacing w:before="60" w:after="60"/>
      </w:pPr>
      <w:r>
        <w:rPr>
          <w:color w:val="1A1A1A"/>
        </w:rPr>
        <w:t>Von der Leyen wurde durch einen von Macron inszenierten Hinterzimmer-Deal ins Amt gebracht – Macron, ein ehemaliger Rothschild-Banker, dessen erster großer Deal für Pfizer war und der als Rothschild-Schützling beschrieben wird.</w:t>
      </w:r>
    </w:p>
    <w:p w14:paraId="308BD9B6" w14:textId="77777777" w:rsidR="006F2AB4" w:rsidRDefault="002C6E1D">
      <w:pPr>
        <w:pStyle w:val="Listenabsatz"/>
        <w:numPr>
          <w:ilvl w:val="0"/>
          <w:numId w:val="2"/>
        </w:numPr>
        <w:spacing w:before="60" w:after="60"/>
      </w:pPr>
      <w:r>
        <w:rPr>
          <w:color w:val="1A1A1A"/>
        </w:rPr>
        <w:t>Gleichzeitig veröffentlichte Rothschild &amp; Co. auf seiner eigenen Website seine eigene Investorenbeziehung zu Pfizer – ein selbst erstellter Primärbeweis für die Nähe zu dem Unternehmen, das von den Verträgen profitierte, für deren Aushandlung ihr Schützling die Kommissionspräsidentin eingesetzt hatte.</w:t>
      </w:r>
    </w:p>
    <w:p w14:paraId="002BE12E" w14:textId="77777777" w:rsidR="006F2AB4" w:rsidRDefault="002C6E1D">
      <w:pPr>
        <w:pStyle w:val="Listenabsatz"/>
        <w:numPr>
          <w:ilvl w:val="0"/>
          <w:numId w:val="2"/>
        </w:numPr>
        <w:spacing w:before="60" w:after="60"/>
      </w:pPr>
      <w:r>
        <w:rPr>
          <w:color w:val="1A1A1A"/>
        </w:rPr>
        <w:t>Merkel, die 14 Jahre lang von der Leyens politische Förderin war, blockierte gleichzeitig die TRIPS-Ausnahmeregelung zum Schutz der pharmazeutischen IP-Monopole weltweit – genau jene Monopole, die in den Verträgen garantiert wurden.</w:t>
      </w:r>
    </w:p>
    <w:p w14:paraId="2E6A4ED2" w14:textId="77777777" w:rsidR="006F2AB4" w:rsidRDefault="002C6E1D">
      <w:pPr>
        <w:pStyle w:val="Listenabsatz"/>
        <w:numPr>
          <w:ilvl w:val="0"/>
          <w:numId w:val="2"/>
        </w:numPr>
        <w:spacing w:before="60" w:after="60"/>
      </w:pPr>
      <w:r>
        <w:rPr>
          <w:color w:val="1A1A1A"/>
        </w:rPr>
        <w:t>Die Anstellung von von der Leyens Ehemann in der Pharmabranche wurde während der Ausschreibungsphase nicht offengelegt.</w:t>
      </w:r>
    </w:p>
    <w:p w14:paraId="3F5E8F1B" w14:textId="77777777" w:rsidR="006F2AB4" w:rsidRDefault="002C6E1D">
      <w:pPr>
        <w:pStyle w:val="Listenabsatz"/>
        <w:numPr>
          <w:ilvl w:val="0"/>
          <w:numId w:val="2"/>
        </w:numPr>
        <w:spacing w:before="60" w:after="60"/>
      </w:pPr>
      <w:r>
        <w:rPr>
          <w:color w:val="1A1A1A"/>
        </w:rPr>
        <w:t>Beide Verträge wälzten die gesamte Haftung auf die Bürger ab, während die Unternehmen das mit öffentlichen Geldern finanzierte geistige Eigentum behielten.</w:t>
      </w:r>
    </w:p>
    <w:p w14:paraId="29A4C53E" w14:textId="77777777" w:rsidR="006F2AB4" w:rsidRDefault="002C6E1D">
      <w:pPr>
        <w:pStyle w:val="Listenabsatz"/>
        <w:numPr>
          <w:ilvl w:val="0"/>
          <w:numId w:val="2"/>
        </w:numPr>
        <w:spacing w:before="60" w:after="60"/>
      </w:pPr>
      <w:r>
        <w:rPr>
          <w:color w:val="1A1A1A"/>
        </w:rPr>
        <w:t>Die Mitgliedstaaten räumten in den unterzeichneten Verträgen ausdrücklich unbekannte Langzeitwirkungen ein, während sie den Bürgern das Gegenteil versicherten.</w:t>
      </w:r>
    </w:p>
    <w:p w14:paraId="312FAB79" w14:textId="77777777" w:rsidR="006F2AB4" w:rsidRDefault="002C6E1D">
      <w:pPr>
        <w:pStyle w:val="Listenabsatz"/>
        <w:numPr>
          <w:ilvl w:val="0"/>
          <w:numId w:val="2"/>
        </w:numPr>
        <w:spacing w:before="60" w:after="60"/>
      </w:pPr>
      <w:r>
        <w:rPr>
          <w:color w:val="1A1A1A"/>
        </w:rPr>
        <w:t>Pfizers 1.291 Kategorien von unerwünschten Ereignissen, die innerhalb von 90 Tagen identifiziert wurden, sollten 75 Jahre lang zurückgehalten werden.</w:t>
      </w:r>
    </w:p>
    <w:p w14:paraId="0CD21388" w14:textId="77777777" w:rsidR="006F2AB4" w:rsidRDefault="002C6E1D">
      <w:pPr>
        <w:pStyle w:val="Listenabsatz"/>
        <w:numPr>
          <w:ilvl w:val="0"/>
          <w:numId w:val="2"/>
        </w:numPr>
        <w:spacing w:before="60" w:after="60"/>
      </w:pPr>
      <w:r>
        <w:rPr>
          <w:color w:val="1A1A1A"/>
        </w:rPr>
        <w:lastRenderedPageBreak/>
        <w:t>Die EMA bestätigte schriftlich, dass die Impfstoffe nicht zur Verhinderung der Übertragung zugelassen waren – die angegebene Rechtfertigung für Zugangsbeschränkungen, die dazu dienten, die Impfung faktisch zu erzwingen.</w:t>
      </w:r>
    </w:p>
    <w:p w14:paraId="72440253" w14:textId="77777777" w:rsidR="006F2AB4" w:rsidRDefault="002C6E1D">
      <w:pPr>
        <w:pStyle w:val="Listenabsatz"/>
        <w:numPr>
          <w:ilvl w:val="0"/>
          <w:numId w:val="2"/>
        </w:numPr>
        <w:spacing w:before="60" w:after="60"/>
      </w:pPr>
      <w:r>
        <w:rPr>
          <w:color w:val="1A1A1A"/>
        </w:rPr>
        <w:t>Formelle Impfpflichten wurden demokratisch abgelehnt. Ein nahezu gleichwertiger Zwang wurde durch Exekutivmaßnahmen umgesetzt, wodurch die parlamentarische Kontrolle umgangen wurde.</w:t>
      </w:r>
    </w:p>
    <w:p w14:paraId="361A13A7" w14:textId="77777777" w:rsidR="006F2AB4" w:rsidRDefault="002C6E1D">
      <w:pPr>
        <w:pStyle w:val="Listenabsatz"/>
        <w:numPr>
          <w:ilvl w:val="0"/>
          <w:numId w:val="2"/>
        </w:numPr>
        <w:spacing w:before="60" w:after="60"/>
      </w:pPr>
      <w:r>
        <w:rPr>
          <w:color w:val="1A1A1A"/>
        </w:rPr>
        <w:t>Gegen keinen der Hauptverantwortlichen wurde Strafanzeige erstattet. Von der Leyen wurde im Juli 2024 als Kommissionspräsidentin wiedergewählt.</w:t>
      </w:r>
    </w:p>
    <w:p w14:paraId="2170BDEB" w14:textId="77777777" w:rsidR="006F2AB4" w:rsidRDefault="006F2AB4">
      <w:pPr>
        <w:spacing w:after="40"/>
      </w:pPr>
    </w:p>
    <w:p w14:paraId="7D32A873" w14:textId="77777777" w:rsidR="006F2AB4" w:rsidRDefault="002C6E1D">
      <w:pPr>
        <w:pStyle w:val="berschrift2"/>
      </w:pPr>
      <w:r>
        <w:t>Methodischer Hinweis</w:t>
      </w:r>
    </w:p>
    <w:p w14:paraId="1B7539F1" w14:textId="77777777" w:rsidR="006F2AB4" w:rsidRDefault="002C6E1D">
      <w:pPr>
        <w:spacing w:before="60" w:after="60" w:line="288" w:lineRule="auto"/>
        <w:jc w:val="both"/>
      </w:pPr>
      <w:r>
        <w:rPr>
          <w:color w:val="1A1A1A"/>
        </w:rPr>
        <w:t>Dieser Bericht stützt sich auf Primärquellen, darunter die ungeschwärzten APAs von Pfizer und Moderna, die Daten von Pfizer zu unerwünschten Ereignissen nach der Markteinführung (5.3.6), das Arbeitsschutzdatenblatt zu Comirnaty, das Schreiben der EMA an die Europaabgeordneten (Oktober 2023) sowie verifizierte veröffentlichte Berichte der Financial Times, der New York Times, Foreign Policy, France 24, Human Rights Watch, Wikipedia sowie den eigenen Veröffentlichungen von Rothschild &amp; Co. Alle sachlichen Auss</w:t>
      </w:r>
      <w:r>
        <w:rPr>
          <w:color w:val="1A1A1A"/>
        </w:rPr>
        <w:t>agen über Personen stammen aus verifizierten Quellen, die im Text zitiert werden. Die Ermittlungen der EPPO dauern an; es wurden noch keine strafrechtlichen Feststellungen getroffen. Die Quellenangaben wurden in dieser Version überprüft und korrigiert.</w:t>
      </w:r>
    </w:p>
    <w:p w14:paraId="7B3C9742" w14:textId="77777777" w:rsidR="006F2AB4" w:rsidRDefault="006F2AB4">
      <w:pPr>
        <w:spacing w:after="40"/>
      </w:pPr>
    </w:p>
    <w:p w14:paraId="5E83AE78" w14:textId="77777777" w:rsidR="006F2AB4" w:rsidRDefault="002C6E1D">
      <w:pPr>
        <w:jc w:val="center"/>
      </w:pPr>
      <w:r>
        <w:rPr>
          <w:i/>
          <w:iCs/>
          <w:color w:val="777777"/>
          <w:sz w:val="18"/>
          <w:szCs w:val="18"/>
        </w:rPr>
        <w:t>Version 6 – Mai 2026</w:t>
      </w:r>
    </w:p>
    <w:sectPr w:rsidR="006F2AB4">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073C54"/>
    <w:multiLevelType w:val="hybridMultilevel"/>
    <w:tmpl w:val="5378B3E6"/>
    <w:lvl w:ilvl="0" w:tplc="F6687F60">
      <w:start w:val="1"/>
      <w:numFmt w:val="bullet"/>
      <w:lvlText w:val="●"/>
      <w:lvlJc w:val="left"/>
      <w:pPr>
        <w:ind w:left="720" w:hanging="360"/>
      </w:pPr>
    </w:lvl>
    <w:lvl w:ilvl="1" w:tplc="E916763A">
      <w:start w:val="1"/>
      <w:numFmt w:val="bullet"/>
      <w:lvlText w:val="○"/>
      <w:lvlJc w:val="left"/>
      <w:pPr>
        <w:ind w:left="1440" w:hanging="360"/>
      </w:pPr>
    </w:lvl>
    <w:lvl w:ilvl="2" w:tplc="3350EC58">
      <w:start w:val="1"/>
      <w:numFmt w:val="bullet"/>
      <w:lvlText w:val="■"/>
      <w:lvlJc w:val="left"/>
      <w:pPr>
        <w:ind w:left="2160" w:hanging="360"/>
      </w:pPr>
    </w:lvl>
    <w:lvl w:ilvl="3" w:tplc="8DA0A2CA">
      <w:start w:val="1"/>
      <w:numFmt w:val="bullet"/>
      <w:lvlText w:val="●"/>
      <w:lvlJc w:val="left"/>
      <w:pPr>
        <w:ind w:left="2880" w:hanging="360"/>
      </w:pPr>
    </w:lvl>
    <w:lvl w:ilvl="4" w:tplc="B87E631A">
      <w:start w:val="1"/>
      <w:numFmt w:val="bullet"/>
      <w:lvlText w:val="○"/>
      <w:lvlJc w:val="left"/>
      <w:pPr>
        <w:ind w:left="3600" w:hanging="360"/>
      </w:pPr>
    </w:lvl>
    <w:lvl w:ilvl="5" w:tplc="7AA8E08A">
      <w:start w:val="1"/>
      <w:numFmt w:val="bullet"/>
      <w:lvlText w:val="■"/>
      <w:lvlJc w:val="left"/>
      <w:pPr>
        <w:ind w:left="4320" w:hanging="360"/>
      </w:pPr>
    </w:lvl>
    <w:lvl w:ilvl="6" w:tplc="C2A487E6">
      <w:start w:val="1"/>
      <w:numFmt w:val="bullet"/>
      <w:lvlText w:val="●"/>
      <w:lvlJc w:val="left"/>
      <w:pPr>
        <w:ind w:left="5040" w:hanging="360"/>
      </w:pPr>
    </w:lvl>
    <w:lvl w:ilvl="7" w:tplc="F9C8042A">
      <w:start w:val="1"/>
      <w:numFmt w:val="bullet"/>
      <w:lvlText w:val="●"/>
      <w:lvlJc w:val="left"/>
      <w:pPr>
        <w:ind w:left="5760" w:hanging="360"/>
      </w:pPr>
    </w:lvl>
    <w:lvl w:ilvl="8" w:tplc="28EC627C">
      <w:start w:val="1"/>
      <w:numFmt w:val="bullet"/>
      <w:lvlText w:val="●"/>
      <w:lvlJc w:val="left"/>
      <w:pPr>
        <w:ind w:left="6480" w:hanging="360"/>
      </w:pPr>
    </w:lvl>
  </w:abstractNum>
  <w:abstractNum w:abstractNumId="1" w15:restartNumberingAfterBreak="0">
    <w:nsid w:val="68EF788F"/>
    <w:multiLevelType w:val="hybridMultilevel"/>
    <w:tmpl w:val="A5229C0E"/>
    <w:lvl w:ilvl="0" w:tplc="47F4EAFE">
      <w:start w:val="1"/>
      <w:numFmt w:val="bullet"/>
      <w:lvlText w:val="•"/>
      <w:lvlJc w:val="left"/>
      <w:pPr>
        <w:ind w:left="600" w:hanging="300"/>
      </w:pPr>
      <w:rPr>
        <w:rFonts w:ascii="Arial" w:eastAsia="Arial" w:hAnsi="Arial" w:cs="Arial"/>
        <w:sz w:val="20"/>
        <w:szCs w:val="20"/>
      </w:rPr>
    </w:lvl>
    <w:lvl w:ilvl="1" w:tplc="9CC49CE4">
      <w:numFmt w:val="decimal"/>
      <w:lvlText w:val=""/>
      <w:lvlJc w:val="left"/>
    </w:lvl>
    <w:lvl w:ilvl="2" w:tplc="6AFEFA86">
      <w:numFmt w:val="decimal"/>
      <w:lvlText w:val=""/>
      <w:lvlJc w:val="left"/>
    </w:lvl>
    <w:lvl w:ilvl="3" w:tplc="732AA8AE">
      <w:numFmt w:val="decimal"/>
      <w:lvlText w:val=""/>
      <w:lvlJc w:val="left"/>
    </w:lvl>
    <w:lvl w:ilvl="4" w:tplc="C3AC5960">
      <w:numFmt w:val="decimal"/>
      <w:lvlText w:val=""/>
      <w:lvlJc w:val="left"/>
    </w:lvl>
    <w:lvl w:ilvl="5" w:tplc="1CAE803C">
      <w:numFmt w:val="decimal"/>
      <w:lvlText w:val=""/>
      <w:lvlJc w:val="left"/>
    </w:lvl>
    <w:lvl w:ilvl="6" w:tplc="13307706">
      <w:numFmt w:val="decimal"/>
      <w:lvlText w:val=""/>
      <w:lvlJc w:val="left"/>
    </w:lvl>
    <w:lvl w:ilvl="7" w:tplc="BFC8D720">
      <w:numFmt w:val="decimal"/>
      <w:lvlText w:val=""/>
      <w:lvlJc w:val="left"/>
    </w:lvl>
    <w:lvl w:ilvl="8" w:tplc="90DE3536">
      <w:numFmt w:val="decimal"/>
      <w:lvlText w:val=""/>
      <w:lvlJc w:val="left"/>
    </w:lvl>
  </w:abstractNum>
  <w:num w:numId="1" w16cid:durableId="820656974">
    <w:abstractNumId w:val="0"/>
    <w:lvlOverride w:ilvl="0">
      <w:startOverride w:val="1"/>
    </w:lvlOverride>
  </w:num>
  <w:num w:numId="2" w16cid:durableId="125759785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2AB4"/>
    <w:rsid w:val="0032174D"/>
    <w:rsid w:val="006F2AB4"/>
    <w:rsid w:val="00803A3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71171"/>
  <w15:docId w15:val="{3008FCE4-F40B-4DE6-B308-C2E420D03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uiPriority w:val="9"/>
    <w:qFormat/>
    <w:pPr>
      <w:spacing w:before="300" w:after="120"/>
      <w:outlineLvl w:val="0"/>
    </w:pPr>
    <w:rPr>
      <w:b/>
      <w:bCs/>
      <w:color w:val="1A1A2E"/>
      <w:sz w:val="28"/>
      <w:szCs w:val="28"/>
    </w:rPr>
  </w:style>
  <w:style w:type="paragraph" w:styleId="berschrift2">
    <w:name w:val="heading 2"/>
    <w:uiPriority w:val="9"/>
    <w:unhideWhenUsed/>
    <w:qFormat/>
    <w:pPr>
      <w:spacing w:before="200" w:after="80"/>
      <w:outlineLvl w:val="1"/>
    </w:pPr>
    <w:rPr>
      <w:b/>
      <w:bCs/>
      <w:color w:val="1A1A2E"/>
      <w:sz w:val="22"/>
      <w:szCs w:val="22"/>
    </w:rPr>
  </w:style>
  <w:style w:type="paragraph" w:styleId="berschrift3">
    <w:name w:val="heading 3"/>
    <w:uiPriority w:val="9"/>
    <w:semiHidden/>
    <w:unhideWhenUsed/>
    <w:qFormat/>
    <w:pPr>
      <w:spacing w:before="160" w:after="60"/>
      <w:outlineLvl w:val="2"/>
    </w:pPr>
    <w:rPr>
      <w:b/>
      <w:bCs/>
      <w:color w:val="333333"/>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rPr>
      <w:sz w:val="56"/>
      <w:szCs w:val="56"/>
    </w:rPr>
  </w:style>
  <w:style w:type="paragraph" w:customStyle="1" w:styleId="Fett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style>
  <w:style w:type="character" w:customStyle="1" w:styleId="FunotentextZchn">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style>
  <w:style w:type="character" w:customStyle="1" w:styleId="EndnotentextZchn">
    <w:name w:val="Endnotentext Zchn"/>
    <w:link w:val="Endnoten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france24.com/en/20191201-ursula-von-der-leyen-merkel-loyalist-favoured-by-macron" TargetMode="External"/><Relationship Id="rId18" Type="http://schemas.openxmlformats.org/officeDocument/2006/relationships/hyperlink" Target="https://foreignpolicy.com/2021/04/30/aristocratic-ineptitude-ursula-von-der-leyen-eu-europe-vaccines-pandemic-response/" TargetMode="External"/><Relationship Id="rId26" Type="http://schemas.openxmlformats.org/officeDocument/2006/relationships/hyperlink" Target="https://www.rothschildandco.com/en/newsroom/insights/2021/04/wm-investment-views-vaccines-and-diagnostics-an-interview-with-pfizer/" TargetMode="External"/><Relationship Id="rId3" Type="http://schemas.openxmlformats.org/officeDocument/2006/relationships/settings" Target="settings.xml"/><Relationship Id="rId21" Type="http://schemas.openxmlformats.org/officeDocument/2006/relationships/hyperlink" Target="https://www.france24.com/en/20191201-ursula-von-der-leyen-merkel-loyalist-favoured-by-macron" TargetMode="External"/><Relationship Id="rId34" Type="http://schemas.openxmlformats.org/officeDocument/2006/relationships/fontTable" Target="fontTable.xml"/><Relationship Id="rId7" Type="http://schemas.openxmlformats.org/officeDocument/2006/relationships/hyperlink" Target="https://foreignpolicy.com/2021/04/30/aristocratic-ineptitude-ursula-von-der-leyen-eu-europe-vaccines-pandemic-response/" TargetMode="External"/><Relationship Id="rId12" Type="http://schemas.openxmlformats.org/officeDocument/2006/relationships/hyperlink" Target="https://www.hrw.org/news/2021/06/14/merkel-should-steer-eu-covid-19-intellectual-property-waiver" TargetMode="External"/><Relationship Id="rId17" Type="http://schemas.openxmlformats.org/officeDocument/2006/relationships/hyperlink" Target="https://www.france24.com/en/20191201-ursula-von-der-leyen-merkel-loyalist-favoured-by-macron" TargetMode="External"/><Relationship Id="rId25" Type="http://schemas.openxmlformats.org/officeDocument/2006/relationships/hyperlink" Target="https://money.com/emmanuel-macron-french-president-wealth-net-worth-rich" TargetMode="External"/><Relationship Id="rId33" Type="http://schemas.openxmlformats.org/officeDocument/2006/relationships/hyperlink" Target="https://www.kettner-edelmetalle.de/news/stasi-vergangenheit-von-angela-merkel-eine-erdruckende-indizienkette-12-05-2025" TargetMode="External"/><Relationship Id="rId2" Type="http://schemas.openxmlformats.org/officeDocument/2006/relationships/styles" Target="styles.xml"/><Relationship Id="rId16" Type="http://schemas.openxmlformats.org/officeDocument/2006/relationships/hyperlink" Target="https://article.wn.com/view/2021/11/17/ursula_von_der_leyen_honored_by_atlantic_council_8211_togeth/" TargetMode="External"/><Relationship Id="rId20" Type="http://schemas.openxmlformats.org/officeDocument/2006/relationships/hyperlink" Target="https://foreignpolicy.com/2021/04/30/aristocratic-ineptitude-ursula-von-der-leyen-eu-europe-vaccines-pandemic-response/" TargetMode="External"/><Relationship Id="rId29" Type="http://schemas.openxmlformats.org/officeDocument/2006/relationships/hyperlink" Target="https://www.facebook.com/HansGeorgMaassen/posts/die-ver%C3%B6ffentlichung-der-stasi-akte-der-frau-merkel-ist-im-interesse-der-demokra/1336877634559419/" TargetMode="External"/><Relationship Id="rId1" Type="http://schemas.openxmlformats.org/officeDocument/2006/relationships/numbering" Target="numbering.xml"/><Relationship Id="rId6" Type="http://schemas.openxmlformats.org/officeDocument/2006/relationships/hyperlink" Target="https://www.france24.com/en/20191201-ursula-von-der-leyen-merkel-loyalist-favoured-by-macron" TargetMode="External"/><Relationship Id="rId11" Type="http://schemas.openxmlformats.org/officeDocument/2006/relationships/hyperlink" Target="https://greatgameindia.com/inside-macrons-secret-dealings-with-the-rothschilds/" TargetMode="External"/><Relationship Id="rId24" Type="http://schemas.openxmlformats.org/officeDocument/2006/relationships/hyperlink" Target="https://factually.co/fact-checks/politics/macron-rothschild-connections-french-elite-e0830a" TargetMode="External"/><Relationship Id="rId32" Type="http://schemas.openxmlformats.org/officeDocument/2006/relationships/hyperlink" Target="https://journalistenwatch.com/2025/09/27/berliner-verwaltungsgericht-verschleppt-klage-zur-freigabe-von-merkels-stasi-unterlagen/" TargetMode="External"/><Relationship Id="rId5" Type="http://schemas.openxmlformats.org/officeDocument/2006/relationships/image" Target="media/image1.jpg"/><Relationship Id="rId15" Type="http://schemas.openxmlformats.org/officeDocument/2006/relationships/hyperlink" Target="https://www.rothschildandco.com/en/newsroom/insights/2021/04/wm-investment-views-vaccines-and-diagnostics-an-interview-with-pfizer/" TargetMode="External"/><Relationship Id="rId23" Type="http://schemas.openxmlformats.org/officeDocument/2006/relationships/hyperlink" Target="https://www.kas.de/en/web/geschichte-der-cdu/biogram-detail/-/content/ursula-von-der-leyen-2" TargetMode="External"/><Relationship Id="rId28" Type="http://schemas.openxmlformats.org/officeDocument/2006/relationships/hyperlink" Target="https://article.wn.com/view/2021/11/17/ursula_von_der_leyen_honored_by_atlantic_council_8211_togeth/" TargetMode="External"/><Relationship Id="rId10" Type="http://schemas.openxmlformats.org/officeDocument/2006/relationships/hyperlink" Target="https://factually.co/fact-checks/politics/macron-rothschild-connections-french-elite-e0830a" TargetMode="External"/><Relationship Id="rId19" Type="http://schemas.openxmlformats.org/officeDocument/2006/relationships/hyperlink" Target="https://www.kas.de/en/web/geschichte-der-cdu/biogram-detail/-/content/ursula-von-der-leyen-2" TargetMode="External"/><Relationship Id="rId31" Type="http://schemas.openxmlformats.org/officeDocument/2006/relationships/hyperlink" Target="https://elizaonsteroids.org/en/posts/merkel-stasi-akte-verschluss-2026/" TargetMode="External"/><Relationship Id="rId4" Type="http://schemas.openxmlformats.org/officeDocument/2006/relationships/webSettings" Target="webSettings.xml"/><Relationship Id="rId9" Type="http://schemas.openxmlformats.org/officeDocument/2006/relationships/hyperlink" Target="https://money.com/emmanuel-macron-french-president-wealth-net-worth-rich" TargetMode="External"/><Relationship Id="rId14" Type="http://schemas.openxmlformats.org/officeDocument/2006/relationships/hyperlink" Target="https://foreignpolicy.com/2021/04/30/aristocratic-ineptitude-ursula-von-der-leyen-eu-europe-vaccines-pandemic-response/" TargetMode="External"/><Relationship Id="rId22" Type="http://schemas.openxmlformats.org/officeDocument/2006/relationships/hyperlink" Target="https://en.wikipedia.org/wiki/Ursula_von_der_Leyen" TargetMode="External"/><Relationship Id="rId27" Type="http://schemas.openxmlformats.org/officeDocument/2006/relationships/hyperlink" Target="https://www.hrw.org/news/2021/06/14/merkel-should-steer-eu-covid-19-intellectual-property-waiver" TargetMode="External"/><Relationship Id="rId30" Type="http://schemas.openxmlformats.org/officeDocument/2006/relationships/hyperlink" Target="https://www.berliner-zeitung.de/politik-gesellschaft/was-steht-in-merkels-stasi-akte-verwaltungsgericht-urteilt-ueber-herausgabeantrag-li.10024273" TargetMode="External"/><Relationship Id="rId35" Type="http://schemas.openxmlformats.org/officeDocument/2006/relationships/theme" Target="theme/theme1.xml"/><Relationship Id="rId8" Type="http://schemas.openxmlformats.org/officeDocument/2006/relationships/hyperlink" Target="https://www.kas.de/en/web/geschichte-der-cdu/biogram-detail/-/content/ursula-von-der-leyen-2"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8536</Words>
  <Characters>53784</Characters>
  <Application>Microsoft Office Word</Application>
  <DocSecurity>0</DocSecurity>
  <Lines>448</Lines>
  <Paragraphs>124</Paragraphs>
  <ScaleCrop>false</ScaleCrop>
  <Company/>
  <LinksUpToDate>false</LinksUpToDate>
  <CharactersWithSpaces>62196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keywords>, docId:FC9B1FFAE067483855F56B23145B0C37</cp:keywords>
  <cp:lastModifiedBy>Dirk Volker Seeling</cp:lastModifiedBy>
  <cp:revision>2</cp:revision>
  <dcterms:created xsi:type="dcterms:W3CDTF">2026-06-27T20:48:00Z</dcterms:created>
  <dcterms:modified xsi:type="dcterms:W3CDTF">2026-06-27T20:48:00Z</dcterms:modified>
</cp:coreProperties>
</file>